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F391" w14:textId="41FF3BDB" w:rsidR="00A25959" w:rsidRPr="009E3B24" w:rsidRDefault="00A25959" w:rsidP="00D81E58">
      <w:pPr>
        <w:tabs>
          <w:tab w:val="left" w:pos="2552"/>
        </w:tabs>
        <w:spacing w:after="120"/>
        <w:ind w:right="1"/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7"/>
        <w:gridCol w:w="2552"/>
        <w:gridCol w:w="2125"/>
      </w:tblGrid>
      <w:tr w:rsidR="00814546" w:rsidRPr="009E3B24" w14:paraId="52DE6AB3" w14:textId="77777777" w:rsidTr="00512387">
        <w:trPr>
          <w:trHeight w:val="787"/>
        </w:trPr>
        <w:tc>
          <w:tcPr>
            <w:tcW w:w="2410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7A15E03B" w14:textId="77777777" w:rsidR="00814546" w:rsidRPr="009E3B24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Localisation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14:paraId="3448407A" w14:textId="77777777" w:rsidR="00814546" w:rsidRPr="009E3B24" w:rsidRDefault="009E3B24" w:rsidP="009E3B24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 xml:space="preserve">EAU </w:t>
            </w:r>
            <w:r>
              <w:rPr>
                <w:rFonts w:ascii="Arial" w:hAnsi="Arial" w:cs="Arial"/>
                <w:b/>
                <w:smallCaps/>
                <w:color w:val="002060"/>
              </w:rPr>
              <w:t>d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 xml:space="preserve">’AZUR – </w:t>
            </w:r>
            <w:r>
              <w:rPr>
                <w:rFonts w:ascii="Arial" w:hAnsi="Arial" w:cs="Arial"/>
                <w:b/>
                <w:smallCaps/>
                <w:color w:val="002060"/>
              </w:rPr>
              <w:t>Nice – Crystal Palace</w:t>
            </w:r>
          </w:p>
        </w:tc>
      </w:tr>
      <w:tr w:rsidR="00814546" w:rsidRPr="009E3B24" w14:paraId="66A0D93C" w14:textId="77777777" w:rsidTr="00512387">
        <w:trPr>
          <w:cantSplit/>
          <w:trHeight w:val="557"/>
        </w:trPr>
        <w:tc>
          <w:tcPr>
            <w:tcW w:w="24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B041D3" w14:textId="77777777" w:rsidR="00814546" w:rsidRPr="009E3B24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68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CFBE583" w14:textId="3B6B4F3E" w:rsidR="00814546" w:rsidRPr="008246ED" w:rsidRDefault="009E3B24" w:rsidP="008246ED">
            <w:pPr>
              <w:pStyle w:val="TableParagraph"/>
              <w:ind w:left="-12"/>
              <w:jc w:val="center"/>
              <w:rPr>
                <w:b/>
                <w:color w:val="002060"/>
                <w:sz w:val="20"/>
                <w:szCs w:val="20"/>
              </w:rPr>
            </w:pPr>
            <w:r w:rsidRPr="009E3B24">
              <w:rPr>
                <w:b/>
                <w:color w:val="002060"/>
                <w:sz w:val="20"/>
                <w:szCs w:val="20"/>
              </w:rPr>
              <w:t>ACHETEUR</w:t>
            </w:r>
            <w:r w:rsidR="00171E81">
              <w:rPr>
                <w:b/>
                <w:color w:val="002060"/>
                <w:sz w:val="20"/>
                <w:szCs w:val="20"/>
              </w:rPr>
              <w:t xml:space="preserve">.SE </w:t>
            </w:r>
            <w:r w:rsidR="008246ED">
              <w:rPr>
                <w:b/>
                <w:color w:val="002060"/>
                <w:sz w:val="20"/>
                <w:szCs w:val="20"/>
              </w:rPr>
              <w:t>TRAVAUX</w:t>
            </w:r>
          </w:p>
        </w:tc>
      </w:tr>
      <w:tr w:rsidR="009E3B24" w:rsidRPr="009E3B24" w14:paraId="473A4CE5" w14:textId="77777777" w:rsidTr="00512387">
        <w:trPr>
          <w:cantSplit/>
          <w:trHeight w:val="552"/>
        </w:trPr>
        <w:tc>
          <w:tcPr>
            <w:tcW w:w="241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3BABC5F" w14:textId="77777777" w:rsidR="009E3B24" w:rsidRPr="009E3B24" w:rsidRDefault="009E3B24" w:rsidP="009E3B24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Hiérarchique</w:t>
            </w:r>
          </w:p>
        </w:tc>
        <w:tc>
          <w:tcPr>
            <w:tcW w:w="68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6DD95FBA" w14:textId="77777777" w:rsidR="009E3B24" w:rsidRPr="009E3B24" w:rsidRDefault="009E3B24" w:rsidP="009E3B24">
            <w:pPr>
              <w:pStyle w:val="TableParagraph"/>
              <w:ind w:left="0"/>
              <w:jc w:val="center"/>
              <w:rPr>
                <w:rFonts w:eastAsia="SimSun"/>
                <w:b/>
                <w:smallCaps/>
                <w:color w:val="002060"/>
                <w:sz w:val="20"/>
                <w:szCs w:val="20"/>
                <w:lang w:eastAsia="en-US" w:bidi="ar-SA"/>
              </w:rPr>
            </w:pPr>
            <w:r w:rsidRPr="009E3B24">
              <w:rPr>
                <w:rFonts w:eastAsia="SimSun"/>
                <w:b/>
                <w:smallCaps/>
                <w:color w:val="002060"/>
                <w:sz w:val="20"/>
                <w:szCs w:val="20"/>
                <w:lang w:eastAsia="en-US" w:bidi="ar-SA"/>
              </w:rPr>
              <w:t>Responsable Achats et Marchés publics</w:t>
            </w:r>
          </w:p>
        </w:tc>
      </w:tr>
      <w:tr w:rsidR="009E3B24" w:rsidRPr="009E3B24" w14:paraId="33E8C827" w14:textId="77777777" w:rsidTr="00512387">
        <w:trPr>
          <w:trHeight w:val="2529"/>
        </w:trPr>
        <w:tc>
          <w:tcPr>
            <w:tcW w:w="24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A4BD71" w14:textId="77777777" w:rsidR="009E3B24" w:rsidRPr="009E3B24" w:rsidRDefault="009E3B24" w:rsidP="009E3B24">
            <w:pPr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68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1E13440" w14:textId="77777777" w:rsidR="009E3B24" w:rsidRDefault="009E3B24" w:rsidP="008246ED">
            <w:pPr>
              <w:pStyle w:val="Default"/>
              <w:ind w:left="-74"/>
              <w:jc w:val="both"/>
              <w:rPr>
                <w:sz w:val="20"/>
              </w:rPr>
            </w:pPr>
            <w:r w:rsidRPr="009E3B24">
              <w:rPr>
                <w:sz w:val="20"/>
              </w:rPr>
              <w:t>Gérer</w:t>
            </w:r>
            <w:r w:rsidR="008246ED">
              <w:rPr>
                <w:sz w:val="20"/>
              </w:rPr>
              <w:t xml:space="preserve"> de manière autonome</w:t>
            </w:r>
            <w:r w:rsidRPr="009E3B24">
              <w:rPr>
                <w:sz w:val="20"/>
              </w:rPr>
              <w:t xml:space="preserve"> l’intégralité d</w:t>
            </w:r>
            <w:r w:rsidR="002C69A2">
              <w:rPr>
                <w:sz w:val="20"/>
              </w:rPr>
              <w:t>u processus achat</w:t>
            </w:r>
            <w:r w:rsidR="008246ED">
              <w:rPr>
                <w:sz w:val="20"/>
              </w:rPr>
              <w:t xml:space="preserve"> de travaux d’infrastructures principalement (génie civil, pose de réseaux, réhabilitation d’ouvrages,…)</w:t>
            </w:r>
            <w:r w:rsidR="007979BE">
              <w:rPr>
                <w:sz w:val="20"/>
              </w:rPr>
              <w:t xml:space="preserve"> et des prestations intellectuelles associées (AMO et MOE)</w:t>
            </w:r>
            <w:r w:rsidR="002C69A2">
              <w:rPr>
                <w:sz w:val="20"/>
              </w:rPr>
              <w:t xml:space="preserve">, de la stratégie d’achat à la contractualisation et piloter l’exécution des contrats dans un contexte </w:t>
            </w:r>
            <w:r w:rsidRPr="009E3B24">
              <w:rPr>
                <w:sz w:val="20"/>
              </w:rPr>
              <w:t>de marchés publics</w:t>
            </w:r>
            <w:r w:rsidR="008246ED">
              <w:rPr>
                <w:sz w:val="20"/>
              </w:rPr>
              <w:t xml:space="preserve"> </w:t>
            </w:r>
            <w:r w:rsidR="002C69A2">
              <w:rPr>
                <w:sz w:val="20"/>
              </w:rPr>
              <w:t>avec négociation</w:t>
            </w:r>
            <w:r w:rsidR="008246ED">
              <w:rPr>
                <w:sz w:val="20"/>
              </w:rPr>
              <w:t>.</w:t>
            </w:r>
          </w:p>
          <w:p w14:paraId="104A23FF" w14:textId="77777777" w:rsidR="007979BE" w:rsidRDefault="007979BE" w:rsidP="008246ED">
            <w:pPr>
              <w:pStyle w:val="Default"/>
              <w:ind w:left="-74"/>
              <w:jc w:val="both"/>
              <w:rPr>
                <w:sz w:val="20"/>
              </w:rPr>
            </w:pPr>
          </w:p>
          <w:p w14:paraId="25046022" w14:textId="4C6B06AD" w:rsidR="007979BE" w:rsidRPr="00512387" w:rsidRDefault="007979BE" w:rsidP="00512387">
            <w:pPr>
              <w:ind w:left="-110"/>
              <w:rPr>
                <w:i/>
                <w:iCs/>
              </w:rPr>
            </w:pPr>
            <w:r w:rsidRPr="007979BE">
              <w:rPr>
                <w:rFonts w:ascii="Arial" w:hAnsi="Arial" w:cs="Arial"/>
                <w:color w:val="000000"/>
                <w:szCs w:val="24"/>
                <w:lang w:eastAsia="fr-FR"/>
              </w:rPr>
              <w:t xml:space="preserve">100 M€ d’achats annuels de travaux sont réalisés en moyenne, </w:t>
            </w:r>
            <w:r>
              <w:rPr>
                <w:rFonts w:ascii="Arial" w:hAnsi="Arial" w:cs="Arial"/>
                <w:color w:val="000000"/>
                <w:szCs w:val="24"/>
                <w:lang w:eastAsia="fr-FR"/>
              </w:rPr>
              <w:t>sur tout l</w:t>
            </w:r>
            <w:r w:rsidR="00512387">
              <w:rPr>
                <w:rFonts w:ascii="Arial" w:hAnsi="Arial" w:cs="Arial"/>
                <w:color w:val="000000"/>
                <w:szCs w:val="24"/>
                <w:lang w:eastAsia="fr-FR"/>
              </w:rPr>
              <w:t>e territoire de la Métropole, de</w:t>
            </w:r>
            <w:r>
              <w:rPr>
                <w:rFonts w:ascii="Arial" w:hAnsi="Arial" w:cs="Arial"/>
                <w:color w:val="000000"/>
                <w:szCs w:val="24"/>
                <w:lang w:eastAsia="fr-FR"/>
              </w:rPr>
              <w:t xml:space="preserve"> Nice au Mercantour, </w:t>
            </w:r>
            <w:r w:rsidRPr="007979BE">
              <w:rPr>
                <w:rFonts w:ascii="Arial" w:hAnsi="Arial" w:cs="Arial"/>
                <w:color w:val="000000"/>
                <w:szCs w:val="24"/>
                <w:lang w:eastAsia="fr-FR"/>
              </w:rPr>
              <w:t xml:space="preserve">au service de projets complexes et </w:t>
            </w:r>
            <w:r w:rsidR="00512387">
              <w:rPr>
                <w:rFonts w:ascii="Arial" w:hAnsi="Arial" w:cs="Arial"/>
                <w:color w:val="000000"/>
                <w:szCs w:val="24"/>
                <w:lang w:eastAsia="fr-FR"/>
              </w:rPr>
              <w:t xml:space="preserve">variés, </w:t>
            </w:r>
            <w:r w:rsidRPr="007979BE">
              <w:rPr>
                <w:rFonts w:ascii="Arial" w:hAnsi="Arial" w:cs="Arial"/>
                <w:color w:val="000000"/>
                <w:szCs w:val="24"/>
                <w:lang w:eastAsia="fr-FR"/>
              </w:rPr>
              <w:t>d’un plan pluriannuel d’investissement ambitieux</w:t>
            </w:r>
            <w:r w:rsidR="00512387">
              <w:rPr>
                <w:rFonts w:ascii="Arial" w:hAnsi="Arial" w:cs="Arial"/>
                <w:color w:val="000000"/>
                <w:szCs w:val="24"/>
                <w:lang w:eastAsia="fr-FR"/>
              </w:rPr>
              <w:t>, dans un environnement favorisant l’initiative.</w:t>
            </w:r>
          </w:p>
        </w:tc>
      </w:tr>
      <w:tr w:rsidR="009E3B24" w:rsidRPr="009E3B24" w14:paraId="468FEED7" w14:textId="77777777" w:rsidTr="00925C2B">
        <w:trPr>
          <w:trHeight w:val="170"/>
        </w:trPr>
        <w:tc>
          <w:tcPr>
            <w:tcW w:w="24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5344CE" w14:textId="77777777" w:rsidR="009E3B24" w:rsidRPr="009E3B24" w:rsidRDefault="009E3B24" w:rsidP="009E3B24">
            <w:pPr>
              <w:pStyle w:val="En-tte"/>
              <w:tabs>
                <w:tab w:val="left" w:pos="10348"/>
              </w:tabs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Description des missions et tâches principales</w:t>
            </w:r>
          </w:p>
        </w:tc>
        <w:tc>
          <w:tcPr>
            <w:tcW w:w="68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438B35B9" w14:textId="4F435847" w:rsidR="00823A3E" w:rsidRDefault="00075F7A" w:rsidP="00300BD5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spacing w:before="65"/>
              <w:ind w:left="317" w:right="187" w:hanging="283"/>
              <w:jc w:val="both"/>
              <w:rPr>
                <w:sz w:val="20"/>
              </w:rPr>
            </w:pPr>
            <w:r>
              <w:rPr>
                <w:sz w:val="20"/>
              </w:rPr>
              <w:t>Identifier</w:t>
            </w:r>
            <w:r w:rsidR="002C69A2" w:rsidRPr="00823A3E">
              <w:rPr>
                <w:sz w:val="20"/>
              </w:rPr>
              <w:t xml:space="preserve"> les leviers de performance financière et extra-financière à mobiliser (analyse des dépenses, </w:t>
            </w:r>
            <w:r>
              <w:rPr>
                <w:sz w:val="20"/>
              </w:rPr>
              <w:t>leviers d’optimisation</w:t>
            </w:r>
            <w:r w:rsidR="002C69A2" w:rsidRPr="00823A3E">
              <w:rPr>
                <w:sz w:val="20"/>
              </w:rPr>
              <w:t xml:space="preserve"> de</w:t>
            </w:r>
            <w:r>
              <w:rPr>
                <w:sz w:val="20"/>
              </w:rPr>
              <w:t>s</w:t>
            </w:r>
            <w:r w:rsidR="002C69A2" w:rsidRPr="00823A3E">
              <w:rPr>
                <w:sz w:val="20"/>
              </w:rPr>
              <w:t xml:space="preserve"> coûts, benchmarks, retour d’expérience des précédents marchés</w:t>
            </w:r>
            <w:r w:rsidR="00823A3E" w:rsidRPr="00823A3E">
              <w:rPr>
                <w:sz w:val="20"/>
              </w:rPr>
              <w:t>, sourcing</w:t>
            </w:r>
            <w:r w:rsidR="002C69A2" w:rsidRPr="00823A3E">
              <w:rPr>
                <w:sz w:val="20"/>
              </w:rPr>
              <w:t>)</w:t>
            </w:r>
            <w:r w:rsidR="00823A3E" w:rsidRPr="00823A3E">
              <w:rPr>
                <w:sz w:val="20"/>
              </w:rPr>
              <w:t>. </w:t>
            </w:r>
          </w:p>
          <w:p w14:paraId="09835500" w14:textId="2010E35D" w:rsidR="009E3B24" w:rsidRPr="00823A3E" w:rsidRDefault="009E3B24" w:rsidP="00300BD5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spacing w:before="65"/>
              <w:ind w:left="317" w:right="187" w:hanging="283"/>
              <w:jc w:val="both"/>
              <w:rPr>
                <w:sz w:val="20"/>
              </w:rPr>
            </w:pPr>
            <w:r w:rsidRPr="00823A3E">
              <w:rPr>
                <w:sz w:val="20"/>
              </w:rPr>
              <w:t xml:space="preserve">Assurer, en relation étroite avec </w:t>
            </w:r>
            <w:r w:rsidR="008246ED">
              <w:rPr>
                <w:sz w:val="20"/>
              </w:rPr>
              <w:t>la Direction Patrimoine principalement</w:t>
            </w:r>
            <w:r w:rsidR="002C69A2" w:rsidRPr="00823A3E">
              <w:rPr>
                <w:sz w:val="20"/>
              </w:rPr>
              <w:t>,</w:t>
            </w:r>
            <w:r w:rsidRPr="00823A3E">
              <w:rPr>
                <w:sz w:val="20"/>
              </w:rPr>
              <w:t xml:space="preserve"> </w:t>
            </w:r>
            <w:r w:rsidR="002C69A2" w:rsidRPr="00823A3E">
              <w:rPr>
                <w:sz w:val="20"/>
              </w:rPr>
              <w:t>la définition des stratégies d’achat les plus appropriées au regard du besoin, du marché fournisseur et de</w:t>
            </w:r>
            <w:r w:rsidR="007979BE">
              <w:rPr>
                <w:sz w:val="20"/>
              </w:rPr>
              <w:t xml:space="preserve">s risques liés au </w:t>
            </w:r>
            <w:r w:rsidR="002C69A2" w:rsidRPr="00823A3E">
              <w:rPr>
                <w:sz w:val="20"/>
              </w:rPr>
              <w:t>marché</w:t>
            </w:r>
            <w:r w:rsidR="007244D0">
              <w:rPr>
                <w:sz w:val="20"/>
              </w:rPr>
              <w:t>.</w:t>
            </w:r>
          </w:p>
          <w:p w14:paraId="75DD6D1C" w14:textId="27835595" w:rsidR="009E3B24" w:rsidRPr="00823A3E" w:rsidRDefault="00823A3E" w:rsidP="005637EC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spacing w:before="1"/>
              <w:ind w:left="317" w:right="195" w:hanging="283"/>
              <w:jc w:val="both"/>
              <w:rPr>
                <w:sz w:val="20"/>
              </w:rPr>
            </w:pPr>
            <w:r w:rsidRPr="00823A3E">
              <w:rPr>
                <w:sz w:val="20"/>
              </w:rPr>
              <w:t>Conduire</w:t>
            </w:r>
            <w:r>
              <w:rPr>
                <w:sz w:val="20"/>
              </w:rPr>
              <w:t xml:space="preserve"> en mode projet</w:t>
            </w:r>
            <w:r w:rsidRPr="00823A3E">
              <w:rPr>
                <w:sz w:val="20"/>
              </w:rPr>
              <w:t xml:space="preserve"> l’ensemble des phases du processus </w:t>
            </w:r>
            <w:r w:rsidR="00075F7A">
              <w:rPr>
                <w:sz w:val="20"/>
              </w:rPr>
              <w:t>de consultation</w:t>
            </w:r>
            <w:r w:rsidRPr="00823A3E">
              <w:rPr>
                <w:sz w:val="20"/>
              </w:rPr>
              <w:t xml:space="preserve"> dans le respect du code de la commande publique</w:t>
            </w:r>
            <w:r w:rsidR="00075F7A">
              <w:rPr>
                <w:sz w:val="20"/>
              </w:rPr>
              <w:t xml:space="preserve"> </w:t>
            </w:r>
            <w:r w:rsidRPr="00823A3E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sourcer les fournisseurs, </w:t>
            </w:r>
            <w:r w:rsidRPr="00823A3E">
              <w:rPr>
                <w:sz w:val="20"/>
              </w:rPr>
              <w:t>r</w:t>
            </w:r>
            <w:r w:rsidR="009E3B24" w:rsidRPr="00823A3E">
              <w:rPr>
                <w:sz w:val="20"/>
              </w:rPr>
              <w:t xml:space="preserve">édiger les pièces contractuelles du DCE </w:t>
            </w:r>
            <w:r w:rsidR="002C69A2" w:rsidRPr="00823A3E">
              <w:rPr>
                <w:sz w:val="20"/>
              </w:rPr>
              <w:t>et contrôler la cohérence globale des spécifications</w:t>
            </w:r>
            <w:r w:rsidRPr="00823A3E">
              <w:rPr>
                <w:sz w:val="20"/>
              </w:rPr>
              <w:t>, r</w:t>
            </w:r>
            <w:r w:rsidR="009E3B24" w:rsidRPr="00823A3E">
              <w:rPr>
                <w:sz w:val="20"/>
              </w:rPr>
              <w:t>édiger les avis de publicité et les publier sur les supports adaptés</w:t>
            </w:r>
            <w:r w:rsidRPr="00823A3E">
              <w:rPr>
                <w:sz w:val="20"/>
              </w:rPr>
              <w:t>, analyser et négocier les offres, r</w:t>
            </w:r>
            <w:r w:rsidR="009E3B24" w:rsidRPr="00823A3E">
              <w:rPr>
                <w:sz w:val="20"/>
              </w:rPr>
              <w:t>édiger les documents en phase d’attribution et de notification (rapports d’analyse, de présentation, PV de</w:t>
            </w:r>
            <w:r w:rsidR="009E3B24" w:rsidRPr="00823A3E">
              <w:rPr>
                <w:spacing w:val="-2"/>
                <w:sz w:val="20"/>
              </w:rPr>
              <w:t xml:space="preserve"> </w:t>
            </w:r>
            <w:r w:rsidR="007244D0">
              <w:rPr>
                <w:sz w:val="20"/>
              </w:rPr>
              <w:t>CAO,…).</w:t>
            </w:r>
          </w:p>
          <w:p w14:paraId="4AAFB6EB" w14:textId="52492FAE" w:rsidR="005B3504" w:rsidRDefault="009E3B24" w:rsidP="005B3504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ind w:left="317" w:hanging="283"/>
              <w:jc w:val="both"/>
              <w:rPr>
                <w:sz w:val="20"/>
              </w:rPr>
            </w:pPr>
            <w:r w:rsidRPr="009E3B24">
              <w:rPr>
                <w:sz w:val="20"/>
              </w:rPr>
              <w:t>Assurer le suivi des</w:t>
            </w:r>
            <w:r w:rsidRPr="005B3504">
              <w:rPr>
                <w:sz w:val="20"/>
              </w:rPr>
              <w:t xml:space="preserve"> </w:t>
            </w:r>
            <w:r w:rsidR="005B3504">
              <w:rPr>
                <w:sz w:val="20"/>
              </w:rPr>
              <w:t>marchés : exécution, rédaction des actes de modifications, gestion des litiges et des contentieux</w:t>
            </w:r>
            <w:r w:rsidR="00823A3E">
              <w:rPr>
                <w:sz w:val="20"/>
              </w:rPr>
              <w:t xml:space="preserve">, </w:t>
            </w:r>
            <w:r w:rsidR="007979BE">
              <w:rPr>
                <w:sz w:val="20"/>
              </w:rPr>
              <w:t>pilotage de la relation fournisseur,…</w:t>
            </w:r>
          </w:p>
          <w:p w14:paraId="02A816B1" w14:textId="59CA6843" w:rsidR="00823A3E" w:rsidRDefault="00823A3E" w:rsidP="005B3504">
            <w:pPr>
              <w:pStyle w:val="TableParagraph"/>
              <w:numPr>
                <w:ilvl w:val="0"/>
                <w:numId w:val="10"/>
              </w:numPr>
              <w:tabs>
                <w:tab w:val="left" w:pos="480"/>
              </w:tabs>
              <w:ind w:left="317" w:hanging="283"/>
              <w:jc w:val="both"/>
              <w:rPr>
                <w:sz w:val="20"/>
              </w:rPr>
            </w:pPr>
            <w:r>
              <w:rPr>
                <w:sz w:val="20"/>
              </w:rPr>
              <w:t>Mesurer la performance achats en coût complet à partir d’un coût de référence, de critères RSE et d’efficacité opérationnelle.</w:t>
            </w:r>
          </w:p>
          <w:p w14:paraId="52093700" w14:textId="227399E7" w:rsidR="009E3B24" w:rsidRPr="005B3504" w:rsidRDefault="009E3B24" w:rsidP="00823A3E">
            <w:pPr>
              <w:pStyle w:val="TableParagraph"/>
              <w:tabs>
                <w:tab w:val="left" w:pos="480"/>
              </w:tabs>
              <w:spacing w:before="1"/>
              <w:ind w:left="317"/>
              <w:jc w:val="both"/>
              <w:rPr>
                <w:sz w:val="20"/>
              </w:rPr>
            </w:pPr>
          </w:p>
        </w:tc>
      </w:tr>
      <w:tr w:rsidR="009E3B24" w:rsidRPr="009E3B24" w14:paraId="65BFECBE" w14:textId="77777777" w:rsidTr="00204F6E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63"/>
        </w:trPr>
        <w:tc>
          <w:tcPr>
            <w:tcW w:w="9214" w:type="dxa"/>
            <w:gridSpan w:val="4"/>
            <w:tcBorders>
              <w:bottom w:val="nil"/>
            </w:tcBorders>
            <w:vAlign w:val="center"/>
          </w:tcPr>
          <w:p w14:paraId="1ACA80E7" w14:textId="77777777" w:rsidR="009E3B24" w:rsidRPr="009E3B24" w:rsidRDefault="009E3B24" w:rsidP="009E3B24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9E3B24">
              <w:rPr>
                <w:rFonts w:ascii="Arial" w:hAnsi="Arial" w:cs="Arial"/>
                <w:b/>
                <w:color w:val="002060"/>
              </w:rPr>
              <w:t>PROFIL REQUIS</w:t>
            </w:r>
            <w:r w:rsidRPr="009E3B24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9E3B24">
              <w:rPr>
                <w:rFonts w:ascii="Arial" w:hAnsi="Arial" w:cs="Arial"/>
                <w:b/>
                <w:color w:val="002060"/>
              </w:rPr>
              <w:instrText xml:space="preserve">  </w:instrText>
            </w:r>
            <w:r w:rsidRPr="009E3B24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9E3B24" w:rsidRPr="009E3B24" w14:paraId="492412A0" w14:textId="77777777" w:rsidTr="00D81E58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41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EEA122A" w14:textId="77777777" w:rsidR="009E3B24" w:rsidRPr="009E3B24" w:rsidRDefault="009E3B24" w:rsidP="009E3B24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6804" w:type="dxa"/>
            <w:gridSpan w:val="3"/>
            <w:tcBorders>
              <w:left w:val="nil"/>
            </w:tcBorders>
            <w:vAlign w:val="center"/>
          </w:tcPr>
          <w:p w14:paraId="44C78044" w14:textId="506D8900" w:rsidR="009E3B24" w:rsidRPr="009E3B24" w:rsidRDefault="009E3B24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right="209"/>
              <w:jc w:val="both"/>
              <w:rPr>
                <w:sz w:val="20"/>
              </w:rPr>
            </w:pPr>
            <w:r w:rsidRPr="009E3B24">
              <w:rPr>
                <w:sz w:val="20"/>
              </w:rPr>
              <w:t xml:space="preserve">Maîtrise </w:t>
            </w:r>
            <w:r w:rsidR="00823A3E">
              <w:rPr>
                <w:sz w:val="20"/>
              </w:rPr>
              <w:t>de l’ensemble des process achats (la connaissance des m</w:t>
            </w:r>
            <w:r w:rsidRPr="009E3B24">
              <w:rPr>
                <w:sz w:val="20"/>
              </w:rPr>
              <w:t>archés publics</w:t>
            </w:r>
            <w:r w:rsidR="00823A3E">
              <w:rPr>
                <w:sz w:val="20"/>
              </w:rPr>
              <w:t xml:space="preserve"> est un plus mais pas un critère décisif)</w:t>
            </w:r>
            <w:r w:rsidRPr="009E3B24">
              <w:rPr>
                <w:sz w:val="20"/>
              </w:rPr>
              <w:t xml:space="preserve"> et des techniques contractuelles</w:t>
            </w:r>
            <w:r w:rsidR="008246ED">
              <w:rPr>
                <w:sz w:val="20"/>
              </w:rPr>
              <w:t xml:space="preserve"> : </w:t>
            </w:r>
            <w:r w:rsidR="00823A3E">
              <w:rPr>
                <w:sz w:val="20"/>
              </w:rPr>
              <w:t>c</w:t>
            </w:r>
            <w:r w:rsidR="008246ED">
              <w:rPr>
                <w:sz w:val="20"/>
              </w:rPr>
              <w:t>artographie des risques achats</w:t>
            </w:r>
            <w:r w:rsidR="00823A3E">
              <w:rPr>
                <w:sz w:val="20"/>
              </w:rPr>
              <w:t>, processus d</w:t>
            </w:r>
            <w:r w:rsidR="00075F7A">
              <w:rPr>
                <w:sz w:val="20"/>
              </w:rPr>
              <w:t xml:space="preserve">e consultation, négociation, </w:t>
            </w:r>
            <w:r w:rsidR="008246ED">
              <w:rPr>
                <w:sz w:val="20"/>
              </w:rPr>
              <w:t>exécution contractuelle.</w:t>
            </w:r>
          </w:p>
          <w:p w14:paraId="34909495" w14:textId="7476F3FE" w:rsidR="009E3B24" w:rsidRPr="009E3B24" w:rsidRDefault="00D61633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Compétences en</w:t>
            </w:r>
            <w:r w:rsidR="00823A3E">
              <w:rPr>
                <w:sz w:val="20"/>
              </w:rPr>
              <w:t xml:space="preserve"> </w:t>
            </w:r>
            <w:r w:rsidR="00075F7A">
              <w:rPr>
                <w:sz w:val="20"/>
              </w:rPr>
              <w:t>management</w:t>
            </w:r>
            <w:r w:rsidR="00823A3E">
              <w:rPr>
                <w:sz w:val="20"/>
              </w:rPr>
              <w:t xml:space="preserve"> de projet : analyse, planification, pilotage</w:t>
            </w:r>
            <w:r w:rsidR="007244D0">
              <w:rPr>
                <w:sz w:val="20"/>
              </w:rPr>
              <w:t>.</w:t>
            </w:r>
            <w:r w:rsidR="00823A3E">
              <w:rPr>
                <w:sz w:val="20"/>
              </w:rPr>
              <w:t xml:space="preserve"> </w:t>
            </w:r>
          </w:p>
          <w:p w14:paraId="29A0F6D7" w14:textId="127B4053" w:rsidR="009E3B24" w:rsidRPr="009E3B24" w:rsidRDefault="00D61633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Parfaite maîtrise des méthodes et stratégies de négociation</w:t>
            </w:r>
            <w:r w:rsidR="007244D0">
              <w:rPr>
                <w:sz w:val="20"/>
              </w:rPr>
              <w:t>.</w:t>
            </w:r>
          </w:p>
          <w:p w14:paraId="1F2A605D" w14:textId="1D5F7D1B" w:rsidR="009E3B24" w:rsidRDefault="00D61633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 w:rsidR="009E3B24" w:rsidRPr="009E3B24">
              <w:rPr>
                <w:sz w:val="20"/>
              </w:rPr>
              <w:t xml:space="preserve"> connaissance de la réglementation des collectivités territoriales et des processus de gestion administrative de la commande</w:t>
            </w:r>
            <w:r w:rsidR="009E3B24" w:rsidRPr="009E3B24">
              <w:rPr>
                <w:spacing w:val="-4"/>
                <w:sz w:val="20"/>
              </w:rPr>
              <w:t xml:space="preserve"> </w:t>
            </w:r>
            <w:r w:rsidR="009E3B24" w:rsidRPr="009E3B24">
              <w:rPr>
                <w:sz w:val="20"/>
              </w:rPr>
              <w:t>publique </w:t>
            </w:r>
            <w:r>
              <w:rPr>
                <w:sz w:val="20"/>
              </w:rPr>
              <w:t>est un plus</w:t>
            </w:r>
            <w:r w:rsidR="007244D0">
              <w:rPr>
                <w:sz w:val="20"/>
              </w:rPr>
              <w:t>.</w:t>
            </w:r>
          </w:p>
          <w:p w14:paraId="6129E400" w14:textId="77777777" w:rsidR="009E3B24" w:rsidRPr="00D61633" w:rsidRDefault="00D61633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right="212"/>
              <w:jc w:val="both"/>
              <w:rPr>
                <w:bCs/>
                <w:szCs w:val="24"/>
              </w:rPr>
            </w:pPr>
            <w:r>
              <w:rPr>
                <w:sz w:val="20"/>
              </w:rPr>
              <w:t>Parfaite m</w:t>
            </w:r>
            <w:r w:rsidR="009E3B24" w:rsidRPr="009E3B24">
              <w:rPr>
                <w:sz w:val="20"/>
              </w:rPr>
              <w:t xml:space="preserve">aitrise </w:t>
            </w:r>
            <w:r>
              <w:rPr>
                <w:sz w:val="20"/>
              </w:rPr>
              <w:t>d’excel, de powerpoint.</w:t>
            </w:r>
          </w:p>
          <w:p w14:paraId="37BF837D" w14:textId="734F3D30" w:rsidR="00D61633" w:rsidRPr="009E3B24" w:rsidRDefault="00D61633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right="212"/>
              <w:jc w:val="both"/>
              <w:rPr>
                <w:bCs/>
                <w:szCs w:val="24"/>
              </w:rPr>
            </w:pPr>
            <w:r>
              <w:rPr>
                <w:sz w:val="20"/>
              </w:rPr>
              <w:lastRenderedPageBreak/>
              <w:t>Parfaite maîtrise de la déontologie achats (notamment traitement égalitai</w:t>
            </w:r>
            <w:r w:rsidR="00075F7A">
              <w:rPr>
                <w:sz w:val="20"/>
              </w:rPr>
              <w:t xml:space="preserve">re des potentiels fournisseurs </w:t>
            </w:r>
            <w:r>
              <w:rPr>
                <w:sz w:val="20"/>
              </w:rPr>
              <w:t>et respect du secret des offres)</w:t>
            </w:r>
            <w:r w:rsidR="007244D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tr w:rsidR="009E3B24" w:rsidRPr="009E3B24" w14:paraId="31CA76C1" w14:textId="77777777" w:rsidTr="00D81E58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41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7EB5128" w14:textId="77777777" w:rsidR="009E3B24" w:rsidRPr="009E3B24" w:rsidRDefault="009E3B24" w:rsidP="009E3B24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lastRenderedPageBreak/>
              <w:t>E</w:t>
            </w:r>
            <w:r w:rsidRPr="009E3B24">
              <w:rPr>
                <w:rFonts w:ascii="Arial" w:hAnsi="Arial" w:cs="Arial"/>
                <w:smallCaps/>
                <w:color w:val="002060"/>
              </w:rPr>
              <w:t>xp</w:t>
            </w:r>
            <w:r w:rsidRPr="009E3B24">
              <w:rPr>
                <w:rFonts w:ascii="Arial" w:hAnsi="Arial" w:cs="Arial"/>
                <w:b/>
                <w:smallCaps/>
                <w:color w:val="002060"/>
              </w:rPr>
              <w:t>ériences professionnelles et formation souhaitée</w:t>
            </w:r>
          </w:p>
        </w:tc>
        <w:tc>
          <w:tcPr>
            <w:tcW w:w="6804" w:type="dxa"/>
            <w:gridSpan w:val="3"/>
            <w:tcBorders>
              <w:left w:val="nil"/>
            </w:tcBorders>
            <w:vAlign w:val="center"/>
          </w:tcPr>
          <w:p w14:paraId="2ED45449" w14:textId="7DFD77BB" w:rsidR="00512387" w:rsidRDefault="00D61633" w:rsidP="00512387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contextualSpacing/>
              <w:jc w:val="both"/>
            </w:pPr>
            <w:r>
              <w:rPr>
                <w:sz w:val="20"/>
              </w:rPr>
              <w:t xml:space="preserve">Formation supérieure </w:t>
            </w:r>
            <w:r w:rsidR="008D7289">
              <w:rPr>
                <w:sz w:val="20"/>
              </w:rPr>
              <w:t>niveau Master 2</w:t>
            </w:r>
            <w:r>
              <w:rPr>
                <w:sz w:val="20"/>
              </w:rPr>
              <w:t xml:space="preserve"> spécialisée dans les achats (privés ou publics)</w:t>
            </w:r>
            <w:r w:rsidR="00D05A7B">
              <w:rPr>
                <w:sz w:val="20"/>
              </w:rPr>
              <w:t xml:space="preserve">, </w:t>
            </w:r>
            <w:r w:rsidR="00512387">
              <w:rPr>
                <w:sz w:val="20"/>
              </w:rPr>
              <w:t>ou f</w:t>
            </w:r>
            <w:r w:rsidR="00512387" w:rsidRPr="00512387">
              <w:rPr>
                <w:sz w:val="20"/>
              </w:rPr>
              <w:t xml:space="preserve">ormation ingénieur </w:t>
            </w:r>
            <w:r w:rsidR="008D7289">
              <w:rPr>
                <w:sz w:val="20"/>
              </w:rPr>
              <w:t>technique BTP, génie civil</w:t>
            </w:r>
          </w:p>
          <w:p w14:paraId="1740F382" w14:textId="626098D7" w:rsidR="009E3B24" w:rsidRPr="00204F6E" w:rsidRDefault="00204F6E" w:rsidP="00512387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contextualSpacing/>
              <w:jc w:val="both"/>
            </w:pPr>
            <w:r w:rsidRPr="00204F6E">
              <w:rPr>
                <w:sz w:val="20"/>
              </w:rPr>
              <w:t xml:space="preserve">5 ans d’expérience </w:t>
            </w:r>
            <w:r w:rsidR="005B3504">
              <w:rPr>
                <w:sz w:val="20"/>
              </w:rPr>
              <w:t xml:space="preserve">minimum </w:t>
            </w:r>
            <w:r w:rsidR="00D61633">
              <w:rPr>
                <w:sz w:val="20"/>
              </w:rPr>
              <w:t>acquise dans des fonctions d’acheteur.</w:t>
            </w:r>
          </w:p>
        </w:tc>
      </w:tr>
      <w:tr w:rsidR="009E3B24" w:rsidRPr="009E3B24" w14:paraId="1E573BCD" w14:textId="77777777" w:rsidTr="00D81E58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41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3F3A8A41" w14:textId="77777777" w:rsidR="009E3B24" w:rsidRPr="009E3B24" w:rsidRDefault="009E3B24" w:rsidP="009E3B24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6804" w:type="dxa"/>
            <w:gridSpan w:val="3"/>
            <w:tcBorders>
              <w:left w:val="nil"/>
            </w:tcBorders>
            <w:vAlign w:val="center"/>
          </w:tcPr>
          <w:p w14:paraId="43D6A5AC" w14:textId="3703024A" w:rsidR="009E3B24" w:rsidRPr="009E3B24" w:rsidRDefault="009E3B24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left="357" w:hanging="357"/>
              <w:jc w:val="both"/>
              <w:rPr>
                <w:sz w:val="20"/>
              </w:rPr>
            </w:pPr>
            <w:r w:rsidRPr="009E3B24">
              <w:rPr>
                <w:sz w:val="20"/>
              </w:rPr>
              <w:t>Excellentes qualités rédactionnelles, capacité d’analyse et de</w:t>
            </w:r>
            <w:r w:rsidRPr="009E3B24">
              <w:rPr>
                <w:spacing w:val="-3"/>
                <w:sz w:val="20"/>
              </w:rPr>
              <w:t xml:space="preserve"> </w:t>
            </w:r>
            <w:r w:rsidR="007244D0">
              <w:rPr>
                <w:sz w:val="20"/>
              </w:rPr>
              <w:t>synthèse.</w:t>
            </w:r>
          </w:p>
          <w:p w14:paraId="154F4E37" w14:textId="77777777" w:rsidR="00512387" w:rsidRDefault="009E3B24" w:rsidP="00512387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left="357" w:hanging="357"/>
              <w:jc w:val="both"/>
              <w:rPr>
                <w:sz w:val="20"/>
              </w:rPr>
            </w:pPr>
            <w:r w:rsidRPr="009E3B24">
              <w:rPr>
                <w:sz w:val="20"/>
              </w:rPr>
              <w:t>Esprit critique, notamment sur les schémas contractuels, les exigences des services opératio</w:t>
            </w:r>
            <w:r w:rsidR="007244D0">
              <w:rPr>
                <w:sz w:val="20"/>
              </w:rPr>
              <w:t>nnels, les analyses des offres.</w:t>
            </w:r>
          </w:p>
          <w:p w14:paraId="26BBAF30" w14:textId="7FE73B83" w:rsidR="00512387" w:rsidRPr="00512387" w:rsidRDefault="00512387" w:rsidP="00512387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left="357" w:hanging="357"/>
              <w:jc w:val="both"/>
              <w:rPr>
                <w:sz w:val="20"/>
              </w:rPr>
            </w:pPr>
            <w:r w:rsidRPr="00512387">
              <w:rPr>
                <w:sz w:val="20"/>
              </w:rPr>
              <w:t>Aisance relationnelle avec les équipes techniques et les entreprises</w:t>
            </w:r>
            <w:r w:rsidR="008D7289">
              <w:rPr>
                <w:sz w:val="20"/>
              </w:rPr>
              <w:t>.</w:t>
            </w:r>
          </w:p>
          <w:p w14:paraId="4E2AC556" w14:textId="470068AA" w:rsidR="009E3B24" w:rsidRPr="009E3B24" w:rsidRDefault="009E3B24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left="357" w:hanging="357"/>
              <w:jc w:val="both"/>
              <w:rPr>
                <w:sz w:val="20"/>
              </w:rPr>
            </w:pPr>
            <w:r w:rsidRPr="009E3B24">
              <w:rPr>
                <w:sz w:val="20"/>
              </w:rPr>
              <w:t>Rigueur, autonomie et capacité à être force de</w:t>
            </w:r>
            <w:r w:rsidRPr="009E3B24">
              <w:rPr>
                <w:spacing w:val="-6"/>
                <w:sz w:val="20"/>
              </w:rPr>
              <w:t xml:space="preserve"> </w:t>
            </w:r>
            <w:r w:rsidRPr="009E3B24">
              <w:rPr>
                <w:sz w:val="20"/>
              </w:rPr>
              <w:t>propositions tant sur le montage des marchés, que vis-à-</w:t>
            </w:r>
            <w:r w:rsidR="007244D0">
              <w:rPr>
                <w:sz w:val="20"/>
              </w:rPr>
              <w:t>vis des services opérationnels.</w:t>
            </w:r>
          </w:p>
          <w:p w14:paraId="59E148FC" w14:textId="2444CB10" w:rsidR="009E3B24" w:rsidRPr="009E3B24" w:rsidRDefault="009E3B24" w:rsidP="009E3B2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left="357" w:hanging="357"/>
              <w:jc w:val="both"/>
              <w:rPr>
                <w:sz w:val="20"/>
              </w:rPr>
            </w:pPr>
            <w:r w:rsidRPr="009E3B24">
              <w:rPr>
                <w:sz w:val="20"/>
              </w:rPr>
              <w:t>Discrétion</w:t>
            </w:r>
            <w:r w:rsidRPr="009E3B24">
              <w:rPr>
                <w:spacing w:val="-1"/>
                <w:sz w:val="20"/>
              </w:rPr>
              <w:t xml:space="preserve"> </w:t>
            </w:r>
            <w:r w:rsidR="007244D0">
              <w:rPr>
                <w:sz w:val="20"/>
              </w:rPr>
              <w:t>professionnelle.</w:t>
            </w:r>
          </w:p>
          <w:p w14:paraId="32B9D619" w14:textId="79C5C7FA" w:rsidR="00D61633" w:rsidRPr="00D61633" w:rsidRDefault="009E3B24" w:rsidP="00D61633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ind w:left="357" w:hanging="357"/>
              <w:jc w:val="both"/>
              <w:rPr>
                <w:sz w:val="20"/>
              </w:rPr>
            </w:pPr>
            <w:r w:rsidRPr="009E3B24">
              <w:rPr>
                <w:sz w:val="20"/>
              </w:rPr>
              <w:t>Aptitude à la recherche de solutions, dans un contexte très</w:t>
            </w:r>
            <w:r w:rsidRPr="009E3B24">
              <w:rPr>
                <w:spacing w:val="-3"/>
                <w:sz w:val="20"/>
              </w:rPr>
              <w:t xml:space="preserve"> </w:t>
            </w:r>
            <w:r w:rsidRPr="009E3B24">
              <w:rPr>
                <w:sz w:val="20"/>
              </w:rPr>
              <w:t>opérationnel</w:t>
            </w:r>
            <w:r w:rsidR="007244D0">
              <w:rPr>
                <w:sz w:val="20"/>
              </w:rPr>
              <w:t>.</w:t>
            </w:r>
          </w:p>
        </w:tc>
      </w:tr>
      <w:tr w:rsidR="009E3B24" w:rsidRPr="009E3B24" w14:paraId="2A164BC1" w14:textId="77777777" w:rsidTr="00204F6E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38"/>
        </w:trPr>
        <w:tc>
          <w:tcPr>
            <w:tcW w:w="9214" w:type="dxa"/>
            <w:gridSpan w:val="4"/>
            <w:vAlign w:val="center"/>
          </w:tcPr>
          <w:p w14:paraId="139DDC3A" w14:textId="77777777" w:rsidR="009E3B24" w:rsidRPr="009E3B24" w:rsidRDefault="009E3B24" w:rsidP="009E3B24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9E3B24">
              <w:rPr>
                <w:rFonts w:ascii="Arial" w:hAnsi="Arial" w:cs="Arial"/>
                <w:b/>
                <w:color w:val="002060"/>
              </w:rPr>
              <w:t>CE POSTE VOUS INTÉRESSE ?</w:t>
            </w:r>
          </w:p>
        </w:tc>
      </w:tr>
      <w:tr w:rsidR="009E3B24" w:rsidRPr="009E3B24" w14:paraId="463E8D61" w14:textId="77777777" w:rsidTr="00D81E58">
        <w:trPr>
          <w:trHeight w:val="397"/>
        </w:trPr>
        <w:tc>
          <w:tcPr>
            <w:tcW w:w="2410" w:type="dxa"/>
            <w:tcBorders>
              <w:top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3464E4CF" w14:textId="77777777" w:rsidR="009E3B24" w:rsidRPr="009E3B24" w:rsidRDefault="009E3B24" w:rsidP="009E3B24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lettre de motivation et CV à /</w:t>
            </w:r>
          </w:p>
        </w:tc>
        <w:tc>
          <w:tcPr>
            <w:tcW w:w="68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7DA215C" w14:textId="16D2F680" w:rsidR="009E3B24" w:rsidRPr="009E3B24" w:rsidRDefault="009E3B24" w:rsidP="007244D0">
            <w:pPr>
              <w:contextualSpacing/>
              <w:rPr>
                <w:rFonts w:ascii="Arial" w:hAnsi="Arial" w:cs="Arial"/>
              </w:rPr>
            </w:pPr>
          </w:p>
        </w:tc>
      </w:tr>
      <w:tr w:rsidR="009E3B24" w:rsidRPr="009E3B24" w14:paraId="0EE7AA9D" w14:textId="77777777" w:rsidTr="00204F6E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72"/>
        </w:trPr>
        <w:tc>
          <w:tcPr>
            <w:tcW w:w="2410" w:type="dxa"/>
            <w:tcBorders>
              <w:bottom w:val="single" w:sz="4" w:space="0" w:color="auto"/>
              <w:right w:val="single" w:sz="4" w:space="0" w:color="C0C0C0"/>
            </w:tcBorders>
            <w:vAlign w:val="center"/>
          </w:tcPr>
          <w:p w14:paraId="68C29C9A" w14:textId="77777777" w:rsidR="009E3B24" w:rsidRPr="009E3B24" w:rsidRDefault="009E3B24" w:rsidP="009E3B24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9E3B24">
              <w:rPr>
                <w:rFonts w:ascii="Arial" w:hAnsi="Arial" w:cs="Arial"/>
                <w:b/>
                <w:smallCaps/>
                <w:color w:val="002060"/>
              </w:rPr>
              <w:t>Date d’affichage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D9D9D9"/>
            </w:tcBorders>
            <w:vAlign w:val="center"/>
          </w:tcPr>
          <w:p w14:paraId="0CFE9C09" w14:textId="2D300404" w:rsidR="009E3B24" w:rsidRPr="00D61633" w:rsidRDefault="009E3B24" w:rsidP="005B3504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000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14:paraId="1EB4C1D0" w14:textId="684B5606" w:rsidR="009E3B24" w:rsidRPr="00D61633" w:rsidRDefault="009E3B24" w:rsidP="009E3B24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  <w:highlight w:val="yellow"/>
              </w:rPr>
            </w:pPr>
          </w:p>
        </w:tc>
        <w:tc>
          <w:tcPr>
            <w:tcW w:w="2125" w:type="dxa"/>
            <w:tcBorders>
              <w:left w:val="single" w:sz="4" w:space="0" w:color="D9D9D9"/>
              <w:bottom w:val="single" w:sz="4" w:space="0" w:color="auto"/>
            </w:tcBorders>
            <w:vAlign w:val="center"/>
          </w:tcPr>
          <w:p w14:paraId="177C196A" w14:textId="36474C6A" w:rsidR="009E3B24" w:rsidRPr="009E3B24" w:rsidRDefault="009E3B24" w:rsidP="007B0615">
            <w:pPr>
              <w:pStyle w:val="Pieddepage"/>
              <w:tabs>
                <w:tab w:val="clear" w:pos="4536"/>
                <w:tab w:val="clear" w:pos="9072"/>
                <w:tab w:val="left" w:pos="10348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888F7DD" w14:textId="77777777" w:rsidR="003E681E" w:rsidRPr="009E3B24" w:rsidRDefault="003E681E" w:rsidP="005B5EBD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"/>
        </w:rPr>
      </w:pPr>
    </w:p>
    <w:sectPr w:rsidR="003E681E" w:rsidRPr="009E3B24" w:rsidSect="00D81E58">
      <w:headerReference w:type="default" r:id="rId8"/>
      <w:footerReference w:type="default" r:id="rId9"/>
      <w:pgSz w:w="11906" w:h="16838" w:code="9"/>
      <w:pgMar w:top="2127" w:right="1274" w:bottom="1417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51F6" w14:textId="77777777" w:rsidR="00DF151D" w:rsidRDefault="00DF151D">
      <w:r>
        <w:separator/>
      </w:r>
    </w:p>
  </w:endnote>
  <w:endnote w:type="continuationSeparator" w:id="0">
    <w:p w14:paraId="6429CD71" w14:textId="77777777" w:rsidR="00DF151D" w:rsidRDefault="00DF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FD2E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14:paraId="32CEC021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14:paraId="40AD737A" w14:textId="77777777" w:rsidR="00F47BA8" w:rsidRPr="00751C69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14:paraId="5933DFB8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14:paraId="361A6BDD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14:paraId="2EA8C4D8" w14:textId="77777777" w:rsidR="00F47BA8" w:rsidRPr="00316409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B013" w14:textId="77777777" w:rsidR="00DF151D" w:rsidRDefault="00DF151D">
      <w:r>
        <w:separator/>
      </w:r>
    </w:p>
  </w:footnote>
  <w:footnote w:type="continuationSeparator" w:id="0">
    <w:p w14:paraId="636C6800" w14:textId="77777777" w:rsidR="00DF151D" w:rsidRDefault="00DF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7AF8" w14:textId="77777777" w:rsidR="00053DC9" w:rsidRDefault="005B5EBD" w:rsidP="00D81E58">
    <w:pPr>
      <w:pStyle w:val="Titre3"/>
      <w:tabs>
        <w:tab w:val="right" w:pos="9214"/>
      </w:tabs>
      <w:ind w:left="-284" w:right="1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 wp14:anchorId="522DFDC0" wp14:editId="496C89CA">
          <wp:simplePos x="0" y="0"/>
          <wp:positionH relativeFrom="column">
            <wp:posOffset>-183515</wp:posOffset>
          </wp:positionH>
          <wp:positionV relativeFrom="paragraph">
            <wp:posOffset>-1905</wp:posOffset>
          </wp:positionV>
          <wp:extent cx="2432685" cy="830580"/>
          <wp:effectExtent l="0" t="0" r="5715" b="762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5139" r="-757" b="20689"/>
                  <a:stretch/>
                </pic:blipFill>
                <pic:spPr bwMode="auto">
                  <a:xfrm>
                    <a:off x="0" y="0"/>
                    <a:ext cx="243268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53DC9">
      <w:rPr>
        <w:noProof/>
        <w:u w:val="none"/>
        <w:lang w:val="fr-FR" w:eastAsia="fr-FR"/>
      </w:rPr>
      <w:tab/>
    </w:r>
  </w:p>
  <w:p w14:paraId="0442557D" w14:textId="77777777" w:rsidR="00E97721" w:rsidRDefault="00053DC9" w:rsidP="00D81E58">
    <w:pPr>
      <w:pStyle w:val="Titre3"/>
      <w:tabs>
        <w:tab w:val="right" w:pos="9214"/>
      </w:tabs>
      <w:ind w:left="-851" w:right="1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0D2"/>
    <w:multiLevelType w:val="hybridMultilevel"/>
    <w:tmpl w:val="F73AF4DA"/>
    <w:lvl w:ilvl="0" w:tplc="DDD6106A">
      <w:numFmt w:val="bullet"/>
      <w:lvlText w:val=""/>
      <w:lvlJc w:val="left"/>
      <w:pPr>
        <w:ind w:left="479" w:hanging="28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2518776E">
      <w:numFmt w:val="bullet"/>
      <w:lvlText w:val="•"/>
      <w:lvlJc w:val="left"/>
      <w:pPr>
        <w:ind w:left="1215" w:hanging="284"/>
      </w:pPr>
      <w:rPr>
        <w:rFonts w:hint="default"/>
        <w:lang w:val="fr-FR" w:eastAsia="fr-FR" w:bidi="fr-FR"/>
      </w:rPr>
    </w:lvl>
    <w:lvl w:ilvl="2" w:tplc="5CC441C6">
      <w:numFmt w:val="bullet"/>
      <w:lvlText w:val="•"/>
      <w:lvlJc w:val="left"/>
      <w:pPr>
        <w:ind w:left="1951" w:hanging="284"/>
      </w:pPr>
      <w:rPr>
        <w:rFonts w:hint="default"/>
        <w:lang w:val="fr-FR" w:eastAsia="fr-FR" w:bidi="fr-FR"/>
      </w:rPr>
    </w:lvl>
    <w:lvl w:ilvl="3" w:tplc="9C4C9F2A">
      <w:numFmt w:val="bullet"/>
      <w:lvlText w:val="•"/>
      <w:lvlJc w:val="left"/>
      <w:pPr>
        <w:ind w:left="2687" w:hanging="284"/>
      </w:pPr>
      <w:rPr>
        <w:rFonts w:hint="default"/>
        <w:lang w:val="fr-FR" w:eastAsia="fr-FR" w:bidi="fr-FR"/>
      </w:rPr>
    </w:lvl>
    <w:lvl w:ilvl="4" w:tplc="A5F09C96">
      <w:numFmt w:val="bullet"/>
      <w:lvlText w:val="•"/>
      <w:lvlJc w:val="left"/>
      <w:pPr>
        <w:ind w:left="3422" w:hanging="284"/>
      </w:pPr>
      <w:rPr>
        <w:rFonts w:hint="default"/>
        <w:lang w:val="fr-FR" w:eastAsia="fr-FR" w:bidi="fr-FR"/>
      </w:rPr>
    </w:lvl>
    <w:lvl w:ilvl="5" w:tplc="B03A1D74">
      <w:numFmt w:val="bullet"/>
      <w:lvlText w:val="•"/>
      <w:lvlJc w:val="left"/>
      <w:pPr>
        <w:ind w:left="4158" w:hanging="284"/>
      </w:pPr>
      <w:rPr>
        <w:rFonts w:hint="default"/>
        <w:lang w:val="fr-FR" w:eastAsia="fr-FR" w:bidi="fr-FR"/>
      </w:rPr>
    </w:lvl>
    <w:lvl w:ilvl="6" w:tplc="6E1A6DFC">
      <w:numFmt w:val="bullet"/>
      <w:lvlText w:val="•"/>
      <w:lvlJc w:val="left"/>
      <w:pPr>
        <w:ind w:left="4894" w:hanging="284"/>
      </w:pPr>
      <w:rPr>
        <w:rFonts w:hint="default"/>
        <w:lang w:val="fr-FR" w:eastAsia="fr-FR" w:bidi="fr-FR"/>
      </w:rPr>
    </w:lvl>
    <w:lvl w:ilvl="7" w:tplc="C7B05956">
      <w:numFmt w:val="bullet"/>
      <w:lvlText w:val="•"/>
      <w:lvlJc w:val="left"/>
      <w:pPr>
        <w:ind w:left="5629" w:hanging="284"/>
      </w:pPr>
      <w:rPr>
        <w:rFonts w:hint="default"/>
        <w:lang w:val="fr-FR" w:eastAsia="fr-FR" w:bidi="fr-FR"/>
      </w:rPr>
    </w:lvl>
    <w:lvl w:ilvl="8" w:tplc="8B12B1B8">
      <w:numFmt w:val="bullet"/>
      <w:lvlText w:val="•"/>
      <w:lvlJc w:val="left"/>
      <w:pPr>
        <w:ind w:left="6365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0D68085E"/>
    <w:multiLevelType w:val="hybridMultilevel"/>
    <w:tmpl w:val="6C3000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F76D8"/>
    <w:multiLevelType w:val="hybridMultilevel"/>
    <w:tmpl w:val="58C63F0C"/>
    <w:lvl w:ilvl="0" w:tplc="1DA6C42E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919AD"/>
    <w:multiLevelType w:val="hybridMultilevel"/>
    <w:tmpl w:val="7848F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1506"/>
    <w:multiLevelType w:val="hybridMultilevel"/>
    <w:tmpl w:val="5C34A0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628"/>
    <w:multiLevelType w:val="hybridMultilevel"/>
    <w:tmpl w:val="AB1E12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A6046"/>
    <w:multiLevelType w:val="hybridMultilevel"/>
    <w:tmpl w:val="49DAC7D6"/>
    <w:lvl w:ilvl="0" w:tplc="EE8E52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058462">
    <w:abstractNumId w:val="8"/>
  </w:num>
  <w:num w:numId="2" w16cid:durableId="892424877">
    <w:abstractNumId w:val="5"/>
  </w:num>
  <w:num w:numId="3" w16cid:durableId="295138168">
    <w:abstractNumId w:val="7"/>
  </w:num>
  <w:num w:numId="4" w16cid:durableId="893195677">
    <w:abstractNumId w:val="1"/>
  </w:num>
  <w:num w:numId="5" w16cid:durableId="389231260">
    <w:abstractNumId w:val="2"/>
  </w:num>
  <w:num w:numId="6" w16cid:durableId="1828087531">
    <w:abstractNumId w:val="2"/>
  </w:num>
  <w:num w:numId="7" w16cid:durableId="1906910175">
    <w:abstractNumId w:val="2"/>
  </w:num>
  <w:num w:numId="8" w16cid:durableId="1305890782">
    <w:abstractNumId w:val="6"/>
  </w:num>
  <w:num w:numId="9" w16cid:durableId="1697151270">
    <w:abstractNumId w:val="4"/>
  </w:num>
  <w:num w:numId="10" w16cid:durableId="1105029923">
    <w:abstractNumId w:val="0"/>
  </w:num>
  <w:num w:numId="11" w16cid:durableId="599797859">
    <w:abstractNumId w:val="9"/>
  </w:num>
  <w:num w:numId="12" w16cid:durableId="192518605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D"/>
    <w:rsid w:val="0002325A"/>
    <w:rsid w:val="000437F1"/>
    <w:rsid w:val="00053DC9"/>
    <w:rsid w:val="00056218"/>
    <w:rsid w:val="00075F7A"/>
    <w:rsid w:val="000761AD"/>
    <w:rsid w:val="000762E0"/>
    <w:rsid w:val="000916E9"/>
    <w:rsid w:val="00093209"/>
    <w:rsid w:val="00094293"/>
    <w:rsid w:val="000B2CFF"/>
    <w:rsid w:val="000B42D4"/>
    <w:rsid w:val="000C48ED"/>
    <w:rsid w:val="000D0DBF"/>
    <w:rsid w:val="000D4C71"/>
    <w:rsid w:val="000E794D"/>
    <w:rsid w:val="000F732C"/>
    <w:rsid w:val="00102A26"/>
    <w:rsid w:val="00103E83"/>
    <w:rsid w:val="00146675"/>
    <w:rsid w:val="001608EA"/>
    <w:rsid w:val="00165D1F"/>
    <w:rsid w:val="001668A4"/>
    <w:rsid w:val="00171E81"/>
    <w:rsid w:val="00172C81"/>
    <w:rsid w:val="0018219D"/>
    <w:rsid w:val="00191F68"/>
    <w:rsid w:val="0019385A"/>
    <w:rsid w:val="00194AB1"/>
    <w:rsid w:val="001B01CF"/>
    <w:rsid w:val="001B4AE8"/>
    <w:rsid w:val="001D1141"/>
    <w:rsid w:val="001E5810"/>
    <w:rsid w:val="001E723B"/>
    <w:rsid w:val="001F73B6"/>
    <w:rsid w:val="002008DC"/>
    <w:rsid w:val="00204F6E"/>
    <w:rsid w:val="002215A3"/>
    <w:rsid w:val="002242D2"/>
    <w:rsid w:val="00241B15"/>
    <w:rsid w:val="0024580F"/>
    <w:rsid w:val="0025191A"/>
    <w:rsid w:val="002548B7"/>
    <w:rsid w:val="00267465"/>
    <w:rsid w:val="00276C2A"/>
    <w:rsid w:val="002833F0"/>
    <w:rsid w:val="0029000A"/>
    <w:rsid w:val="002A02DA"/>
    <w:rsid w:val="002C69A2"/>
    <w:rsid w:val="002E3128"/>
    <w:rsid w:val="002F0293"/>
    <w:rsid w:val="002F285A"/>
    <w:rsid w:val="002F6636"/>
    <w:rsid w:val="003077EA"/>
    <w:rsid w:val="0033010F"/>
    <w:rsid w:val="003306C4"/>
    <w:rsid w:val="003475E0"/>
    <w:rsid w:val="00360A72"/>
    <w:rsid w:val="00384AA2"/>
    <w:rsid w:val="003B0987"/>
    <w:rsid w:val="003B78BE"/>
    <w:rsid w:val="003C4683"/>
    <w:rsid w:val="003D63FD"/>
    <w:rsid w:val="003E0C9D"/>
    <w:rsid w:val="003E681E"/>
    <w:rsid w:val="003F5976"/>
    <w:rsid w:val="00404EA3"/>
    <w:rsid w:val="0040673D"/>
    <w:rsid w:val="0041427E"/>
    <w:rsid w:val="00414D5B"/>
    <w:rsid w:val="00416B09"/>
    <w:rsid w:val="004212E6"/>
    <w:rsid w:val="004227A6"/>
    <w:rsid w:val="00427FC0"/>
    <w:rsid w:val="00430AA7"/>
    <w:rsid w:val="00451DBF"/>
    <w:rsid w:val="00466044"/>
    <w:rsid w:val="00487371"/>
    <w:rsid w:val="004901FC"/>
    <w:rsid w:val="00492F91"/>
    <w:rsid w:val="00495D8C"/>
    <w:rsid w:val="004A4C71"/>
    <w:rsid w:val="004A4CFE"/>
    <w:rsid w:val="004B67EC"/>
    <w:rsid w:val="004C59FF"/>
    <w:rsid w:val="004D2E00"/>
    <w:rsid w:val="004F5921"/>
    <w:rsid w:val="00500C73"/>
    <w:rsid w:val="00506C3C"/>
    <w:rsid w:val="00512387"/>
    <w:rsid w:val="00512A56"/>
    <w:rsid w:val="00514702"/>
    <w:rsid w:val="00515356"/>
    <w:rsid w:val="00531960"/>
    <w:rsid w:val="00535A3B"/>
    <w:rsid w:val="00540018"/>
    <w:rsid w:val="005508F4"/>
    <w:rsid w:val="00564D2A"/>
    <w:rsid w:val="00567C5E"/>
    <w:rsid w:val="0057243B"/>
    <w:rsid w:val="00576A55"/>
    <w:rsid w:val="00587C91"/>
    <w:rsid w:val="00594AE3"/>
    <w:rsid w:val="005B2BD5"/>
    <w:rsid w:val="005B3504"/>
    <w:rsid w:val="005B5EBD"/>
    <w:rsid w:val="005C1CAB"/>
    <w:rsid w:val="005C2C41"/>
    <w:rsid w:val="00605812"/>
    <w:rsid w:val="006064F6"/>
    <w:rsid w:val="00611587"/>
    <w:rsid w:val="0061308F"/>
    <w:rsid w:val="006313E6"/>
    <w:rsid w:val="00640010"/>
    <w:rsid w:val="00651D7E"/>
    <w:rsid w:val="006569E2"/>
    <w:rsid w:val="00656EB7"/>
    <w:rsid w:val="00663230"/>
    <w:rsid w:val="00671202"/>
    <w:rsid w:val="006713B8"/>
    <w:rsid w:val="0067631C"/>
    <w:rsid w:val="0068594A"/>
    <w:rsid w:val="006A0EFF"/>
    <w:rsid w:val="006A5B8A"/>
    <w:rsid w:val="006A6384"/>
    <w:rsid w:val="006D25C5"/>
    <w:rsid w:val="006D71C8"/>
    <w:rsid w:val="006F1385"/>
    <w:rsid w:val="006F1B11"/>
    <w:rsid w:val="006F1D9C"/>
    <w:rsid w:val="007038BC"/>
    <w:rsid w:val="00717578"/>
    <w:rsid w:val="00717B03"/>
    <w:rsid w:val="00723C15"/>
    <w:rsid w:val="007244D0"/>
    <w:rsid w:val="007265BC"/>
    <w:rsid w:val="00733C2A"/>
    <w:rsid w:val="00745347"/>
    <w:rsid w:val="0076236C"/>
    <w:rsid w:val="00764A4A"/>
    <w:rsid w:val="00767410"/>
    <w:rsid w:val="0077488C"/>
    <w:rsid w:val="007811E6"/>
    <w:rsid w:val="00796D41"/>
    <w:rsid w:val="00797728"/>
    <w:rsid w:val="007979BE"/>
    <w:rsid w:val="007B0615"/>
    <w:rsid w:val="007B2EA9"/>
    <w:rsid w:val="007F6C27"/>
    <w:rsid w:val="0080110F"/>
    <w:rsid w:val="00814546"/>
    <w:rsid w:val="00821504"/>
    <w:rsid w:val="00823A3E"/>
    <w:rsid w:val="008246ED"/>
    <w:rsid w:val="00841458"/>
    <w:rsid w:val="0085594F"/>
    <w:rsid w:val="00857B5D"/>
    <w:rsid w:val="00860F6A"/>
    <w:rsid w:val="008838A2"/>
    <w:rsid w:val="008879B0"/>
    <w:rsid w:val="008902B1"/>
    <w:rsid w:val="008914B2"/>
    <w:rsid w:val="008A7218"/>
    <w:rsid w:val="008C31B2"/>
    <w:rsid w:val="008D5E2F"/>
    <w:rsid w:val="008D7289"/>
    <w:rsid w:val="0090127C"/>
    <w:rsid w:val="00923C2B"/>
    <w:rsid w:val="00930C70"/>
    <w:rsid w:val="00945F4F"/>
    <w:rsid w:val="009576D4"/>
    <w:rsid w:val="0096446A"/>
    <w:rsid w:val="009665EB"/>
    <w:rsid w:val="009910F1"/>
    <w:rsid w:val="00995C06"/>
    <w:rsid w:val="009A0052"/>
    <w:rsid w:val="009B2F2D"/>
    <w:rsid w:val="009B57CF"/>
    <w:rsid w:val="009B63F7"/>
    <w:rsid w:val="009C069D"/>
    <w:rsid w:val="009C6CA3"/>
    <w:rsid w:val="009D1356"/>
    <w:rsid w:val="009D2753"/>
    <w:rsid w:val="009D6113"/>
    <w:rsid w:val="009E3B24"/>
    <w:rsid w:val="009F0E48"/>
    <w:rsid w:val="00A06F4E"/>
    <w:rsid w:val="00A16808"/>
    <w:rsid w:val="00A22CD3"/>
    <w:rsid w:val="00A25959"/>
    <w:rsid w:val="00A31A6C"/>
    <w:rsid w:val="00A41DC7"/>
    <w:rsid w:val="00A4448D"/>
    <w:rsid w:val="00A508FB"/>
    <w:rsid w:val="00A50EBD"/>
    <w:rsid w:val="00A55FFA"/>
    <w:rsid w:val="00A601C1"/>
    <w:rsid w:val="00A61813"/>
    <w:rsid w:val="00A64C6F"/>
    <w:rsid w:val="00A73E83"/>
    <w:rsid w:val="00A7585F"/>
    <w:rsid w:val="00A8239C"/>
    <w:rsid w:val="00A90226"/>
    <w:rsid w:val="00AB26B2"/>
    <w:rsid w:val="00AB6445"/>
    <w:rsid w:val="00AE3129"/>
    <w:rsid w:val="00B040D2"/>
    <w:rsid w:val="00B11DB4"/>
    <w:rsid w:val="00B16AC5"/>
    <w:rsid w:val="00B215C4"/>
    <w:rsid w:val="00B319E0"/>
    <w:rsid w:val="00B35AA6"/>
    <w:rsid w:val="00B35C49"/>
    <w:rsid w:val="00B43967"/>
    <w:rsid w:val="00B51DB6"/>
    <w:rsid w:val="00B51FC7"/>
    <w:rsid w:val="00B60FB2"/>
    <w:rsid w:val="00B61E99"/>
    <w:rsid w:val="00B6234D"/>
    <w:rsid w:val="00B65C9A"/>
    <w:rsid w:val="00B74440"/>
    <w:rsid w:val="00B80B79"/>
    <w:rsid w:val="00B8643E"/>
    <w:rsid w:val="00B96470"/>
    <w:rsid w:val="00BA662B"/>
    <w:rsid w:val="00BA7330"/>
    <w:rsid w:val="00BC220A"/>
    <w:rsid w:val="00BC2BD4"/>
    <w:rsid w:val="00BE1FBF"/>
    <w:rsid w:val="00C43850"/>
    <w:rsid w:val="00C45A50"/>
    <w:rsid w:val="00C45B2D"/>
    <w:rsid w:val="00C50690"/>
    <w:rsid w:val="00C55909"/>
    <w:rsid w:val="00C63177"/>
    <w:rsid w:val="00C71623"/>
    <w:rsid w:val="00C7626E"/>
    <w:rsid w:val="00C856E0"/>
    <w:rsid w:val="00C97B62"/>
    <w:rsid w:val="00CA7389"/>
    <w:rsid w:val="00CB43F6"/>
    <w:rsid w:val="00CC1044"/>
    <w:rsid w:val="00CC23CE"/>
    <w:rsid w:val="00CC272F"/>
    <w:rsid w:val="00CE23A6"/>
    <w:rsid w:val="00D048C5"/>
    <w:rsid w:val="00D05A7B"/>
    <w:rsid w:val="00D10C35"/>
    <w:rsid w:val="00D13285"/>
    <w:rsid w:val="00D30D4C"/>
    <w:rsid w:val="00D3685D"/>
    <w:rsid w:val="00D543BA"/>
    <w:rsid w:val="00D61633"/>
    <w:rsid w:val="00D65868"/>
    <w:rsid w:val="00D81E58"/>
    <w:rsid w:val="00D922C9"/>
    <w:rsid w:val="00DA4AD3"/>
    <w:rsid w:val="00DB4080"/>
    <w:rsid w:val="00DE364F"/>
    <w:rsid w:val="00DF151D"/>
    <w:rsid w:val="00DF24A7"/>
    <w:rsid w:val="00DF6408"/>
    <w:rsid w:val="00E019DA"/>
    <w:rsid w:val="00E02158"/>
    <w:rsid w:val="00E045C8"/>
    <w:rsid w:val="00E12385"/>
    <w:rsid w:val="00E16894"/>
    <w:rsid w:val="00E21B83"/>
    <w:rsid w:val="00E25636"/>
    <w:rsid w:val="00E82D82"/>
    <w:rsid w:val="00E85BBB"/>
    <w:rsid w:val="00E97721"/>
    <w:rsid w:val="00EB5E70"/>
    <w:rsid w:val="00EC001F"/>
    <w:rsid w:val="00EC280D"/>
    <w:rsid w:val="00EE2450"/>
    <w:rsid w:val="00EE5805"/>
    <w:rsid w:val="00F11933"/>
    <w:rsid w:val="00F30F53"/>
    <w:rsid w:val="00F40D24"/>
    <w:rsid w:val="00F420ED"/>
    <w:rsid w:val="00F47BA8"/>
    <w:rsid w:val="00F54690"/>
    <w:rsid w:val="00F60571"/>
    <w:rsid w:val="00F617C1"/>
    <w:rsid w:val="00F649B3"/>
    <w:rsid w:val="00F66A81"/>
    <w:rsid w:val="00F74F64"/>
    <w:rsid w:val="00F75499"/>
    <w:rsid w:val="00F9705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2E4AE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D10C35"/>
    <w:pPr>
      <w:tabs>
        <w:tab w:val="center" w:pos="3450"/>
      </w:tabs>
      <w:spacing w:before="120"/>
    </w:pPr>
    <w:rPr>
      <w:rFonts w:ascii="Arial" w:eastAsia="Calibri" w:hAnsi="Arial" w:cs="Arial"/>
      <w:b/>
      <w:smallCaps/>
    </w:rPr>
  </w:style>
  <w:style w:type="character" w:customStyle="1" w:styleId="Style1Car">
    <w:name w:val="Style1 Car"/>
    <w:basedOn w:val="Policepardfaut"/>
    <w:link w:val="Style1"/>
    <w:rsid w:val="00D10C35"/>
    <w:rPr>
      <w:rFonts w:ascii="Arial" w:eastAsia="Calibri" w:hAnsi="Arial" w:cs="Arial"/>
      <w:b/>
      <w:smallCap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D65868"/>
    <w:pPr>
      <w:numPr>
        <w:numId w:val="5"/>
      </w:numPr>
    </w:pPr>
    <w:rPr>
      <w:rFonts w:ascii="Arial" w:hAnsi="Arial" w:cs="Arial"/>
      <w:sz w:val="20"/>
    </w:rPr>
  </w:style>
  <w:style w:type="paragraph" w:customStyle="1" w:styleId="Style3">
    <w:name w:val="Style3"/>
    <w:basedOn w:val="Normal"/>
    <w:link w:val="Style3Car"/>
    <w:qFormat/>
    <w:rsid w:val="00D65868"/>
    <w:pPr>
      <w:spacing w:before="60"/>
    </w:pPr>
    <w:rPr>
      <w:rFonts w:ascii="Arial" w:hAnsi="Arial" w:cs="Arial"/>
      <w:b/>
      <w:smallCap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65868"/>
    <w:rPr>
      <w:rFonts w:ascii="Calibri" w:eastAsia="Calibri" w:hAnsi="Calibri"/>
      <w:sz w:val="22"/>
      <w:szCs w:val="22"/>
    </w:rPr>
  </w:style>
  <w:style w:type="character" w:customStyle="1" w:styleId="Style2Car">
    <w:name w:val="Style2 Car"/>
    <w:basedOn w:val="ParagraphedelisteCar"/>
    <w:link w:val="Style2"/>
    <w:rsid w:val="00D65868"/>
    <w:rPr>
      <w:rFonts w:ascii="Arial" w:eastAsia="Calibri" w:hAnsi="Arial" w:cs="Arial"/>
      <w:sz w:val="22"/>
      <w:szCs w:val="22"/>
    </w:rPr>
  </w:style>
  <w:style w:type="character" w:customStyle="1" w:styleId="Style3Car">
    <w:name w:val="Style3 Car"/>
    <w:basedOn w:val="Policepardfaut"/>
    <w:link w:val="Style3"/>
    <w:rsid w:val="00D65868"/>
    <w:rPr>
      <w:rFonts w:ascii="Arial" w:hAnsi="Arial" w:cs="Arial"/>
      <w:b/>
      <w:smallCaps/>
      <w:lang w:eastAsia="en-US"/>
    </w:rPr>
  </w:style>
  <w:style w:type="paragraph" w:customStyle="1" w:styleId="TableParagraph">
    <w:name w:val="Table Paragraph"/>
    <w:basedOn w:val="Normal"/>
    <w:uiPriority w:val="1"/>
    <w:qFormat/>
    <w:rsid w:val="009E3B24"/>
    <w:pPr>
      <w:widowControl w:val="0"/>
      <w:autoSpaceDE w:val="0"/>
      <w:autoSpaceDN w:val="0"/>
      <w:ind w:left="479"/>
    </w:pPr>
    <w:rPr>
      <w:rFonts w:ascii="Arial" w:eastAsia="Arial" w:hAnsi="Arial" w:cs="Arial"/>
      <w:sz w:val="22"/>
      <w:szCs w:val="22"/>
      <w:lang w:eastAsia="fr-FR" w:bidi="fr-FR"/>
    </w:rPr>
  </w:style>
  <w:style w:type="character" w:styleId="Marquedecommentaire">
    <w:name w:val="annotation reference"/>
    <w:basedOn w:val="Policepardfaut"/>
    <w:rsid w:val="00171E81"/>
    <w:rPr>
      <w:sz w:val="16"/>
      <w:szCs w:val="16"/>
    </w:rPr>
  </w:style>
  <w:style w:type="paragraph" w:styleId="Commentaire">
    <w:name w:val="annotation text"/>
    <w:basedOn w:val="Normal"/>
    <w:link w:val="CommentaireCar"/>
    <w:rsid w:val="00171E81"/>
  </w:style>
  <w:style w:type="character" w:customStyle="1" w:styleId="CommentaireCar">
    <w:name w:val="Commentaire Car"/>
    <w:basedOn w:val="Policepardfaut"/>
    <w:link w:val="Commentaire"/>
    <w:rsid w:val="00171E8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71E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71E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F213-87AC-4D9A-A72C-3AE8DDC5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3609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BENICHOU Melissa</cp:lastModifiedBy>
  <cp:revision>2</cp:revision>
  <cp:lastPrinted>2023-05-26T12:09:00Z</cp:lastPrinted>
  <dcterms:created xsi:type="dcterms:W3CDTF">2026-03-10T12:04:00Z</dcterms:created>
  <dcterms:modified xsi:type="dcterms:W3CDTF">2026-03-10T12:04:00Z</dcterms:modified>
</cp:coreProperties>
</file>