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82" w:rsidRDefault="00B06AED" w:rsidP="00EB50CA">
      <w:pPr>
        <w:ind w:left="199"/>
        <w:jc w:val="right"/>
      </w:pPr>
      <w:r>
        <w:rPr>
          <w:rFonts w:ascii="Corbel" w:eastAsia="Corbel" w:hAnsi="Corbel" w:cs="Corbel"/>
          <w:b/>
          <w:color w:val="002060"/>
          <w:sz w:val="40"/>
        </w:rPr>
        <w:t>PO</w:t>
      </w:r>
      <w:r w:rsidR="00EB50CA">
        <w:rPr>
          <w:b/>
          <w:color w:val="002060"/>
          <w:sz w:val="40"/>
        </w:rPr>
        <w:t>STE A POURVOIR</w:t>
      </w:r>
    </w:p>
    <w:p w:rsidR="00FF3582" w:rsidRDefault="00FF3582" w:rsidP="001432CD"/>
    <w:tbl>
      <w:tblPr>
        <w:tblStyle w:val="TableGrid"/>
        <w:tblW w:w="10915" w:type="dxa"/>
        <w:tblInd w:w="-137" w:type="dxa"/>
        <w:tblCellMar>
          <w:top w:w="18" w:type="dxa"/>
          <w:left w:w="108" w:type="dxa"/>
        </w:tblCellMar>
        <w:tblLook w:val="04A0" w:firstRow="1" w:lastRow="0" w:firstColumn="1" w:lastColumn="0" w:noHBand="0" w:noVBand="1"/>
      </w:tblPr>
      <w:tblGrid>
        <w:gridCol w:w="2117"/>
        <w:gridCol w:w="8798"/>
      </w:tblGrid>
      <w:tr w:rsidR="00FF3582" w:rsidTr="00B06AED">
        <w:trPr>
          <w:trHeight w:val="24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F3582" w:rsidRDefault="00B06AED">
            <w:pPr>
              <w:ind w:right="107"/>
              <w:jc w:val="center"/>
            </w:pPr>
            <w:r>
              <w:rPr>
                <w:b/>
                <w:color w:val="002060"/>
              </w:rPr>
              <w:t>L</w:t>
            </w:r>
            <w:r>
              <w:rPr>
                <w:b/>
                <w:color w:val="002060"/>
                <w:sz w:val="15"/>
              </w:rPr>
              <w:t xml:space="preserve">OCALISATION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>
            <w:pPr>
              <w:ind w:right="109"/>
              <w:jc w:val="center"/>
            </w:pPr>
            <w:bookmarkStart w:id="0" w:name="_GoBack"/>
            <w:bookmarkEnd w:id="0"/>
            <w:r>
              <w:rPr>
                <w:b/>
                <w:color w:val="001F5F"/>
              </w:rPr>
              <w:t>EAU D’AZUR – A</w:t>
            </w:r>
            <w:r>
              <w:rPr>
                <w:b/>
                <w:color w:val="001F5F"/>
                <w:sz w:val="15"/>
              </w:rPr>
              <w:t xml:space="preserve">GENCE </w:t>
            </w:r>
            <w:r>
              <w:rPr>
                <w:b/>
                <w:color w:val="001F5F"/>
              </w:rPr>
              <w:t>M</w:t>
            </w:r>
            <w:r>
              <w:rPr>
                <w:b/>
                <w:color w:val="001F5F"/>
                <w:sz w:val="15"/>
              </w:rPr>
              <w:t xml:space="preserve">OYEN ET </w:t>
            </w:r>
            <w:r>
              <w:rPr>
                <w:b/>
                <w:color w:val="001F5F"/>
              </w:rPr>
              <w:t>H</w:t>
            </w:r>
            <w:r>
              <w:rPr>
                <w:b/>
                <w:color w:val="001F5F"/>
                <w:sz w:val="15"/>
              </w:rPr>
              <w:t xml:space="preserve">AUT PAYS </w:t>
            </w:r>
            <w:r>
              <w:rPr>
                <w:b/>
                <w:color w:val="001F5F"/>
              </w:rPr>
              <w:t>(S</w:t>
            </w:r>
            <w:r>
              <w:rPr>
                <w:b/>
                <w:color w:val="001F5F"/>
                <w:sz w:val="15"/>
              </w:rPr>
              <w:t xml:space="preserve">AINT </w:t>
            </w:r>
            <w:r>
              <w:rPr>
                <w:b/>
                <w:color w:val="001F5F"/>
              </w:rPr>
              <w:t>M</w:t>
            </w:r>
            <w:r>
              <w:rPr>
                <w:b/>
                <w:color w:val="001F5F"/>
                <w:sz w:val="15"/>
              </w:rPr>
              <w:t xml:space="preserve">ARTIN DU </w:t>
            </w:r>
            <w:r>
              <w:rPr>
                <w:b/>
                <w:color w:val="001F5F"/>
              </w:rPr>
              <w:t>V</w:t>
            </w:r>
            <w:r>
              <w:rPr>
                <w:b/>
                <w:color w:val="001F5F"/>
                <w:sz w:val="15"/>
              </w:rPr>
              <w:t>AR</w:t>
            </w:r>
            <w:r>
              <w:rPr>
                <w:b/>
                <w:color w:val="001F5F"/>
              </w:rPr>
              <w:t>)</w:t>
            </w:r>
            <w:r>
              <w:t xml:space="preserve"> </w:t>
            </w:r>
          </w:p>
        </w:tc>
      </w:tr>
      <w:tr w:rsidR="00FF3582" w:rsidTr="00B06AED">
        <w:trPr>
          <w:trHeight w:val="490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:rsidR="00FF3582" w:rsidRDefault="00B06AED">
            <w:pPr>
              <w:ind w:right="104"/>
              <w:jc w:val="center"/>
            </w:pPr>
            <w:r>
              <w:rPr>
                <w:b/>
                <w:color w:val="002060"/>
              </w:rPr>
              <w:t>I</w:t>
            </w:r>
            <w:r>
              <w:rPr>
                <w:b/>
                <w:color w:val="002060"/>
                <w:sz w:val="15"/>
              </w:rPr>
              <w:t xml:space="preserve">NTITULE DU POSTE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>
            <w:pPr>
              <w:ind w:right="114"/>
              <w:jc w:val="center"/>
            </w:pPr>
            <w:r>
              <w:rPr>
                <w:b/>
                <w:color w:val="002060"/>
              </w:rPr>
              <w:t xml:space="preserve">RESPONSABLE DE SECTEUR ASSAINISSEMENT </w:t>
            </w:r>
            <w:r w:rsidR="00C97CF3">
              <w:rPr>
                <w:b/>
                <w:color w:val="002060"/>
              </w:rPr>
              <w:t>MOYEN</w:t>
            </w:r>
            <w:r>
              <w:rPr>
                <w:b/>
                <w:color w:val="002060"/>
              </w:rPr>
              <w:t xml:space="preserve"> PAYS </w:t>
            </w:r>
          </w:p>
          <w:p w:rsidR="00FF3582" w:rsidRDefault="00B06AED" w:rsidP="00B61B7F">
            <w:pPr>
              <w:ind w:right="117"/>
              <w:jc w:val="center"/>
            </w:pPr>
            <w:r>
              <w:rPr>
                <w:b/>
                <w:color w:val="0070C0"/>
              </w:rPr>
              <w:t>(REA0</w:t>
            </w:r>
            <w:r w:rsidR="00275E14">
              <w:rPr>
                <w:b/>
                <w:color w:val="0070C0"/>
              </w:rPr>
              <w:t>4</w:t>
            </w:r>
            <w:r w:rsidR="00B61B7F">
              <w:rPr>
                <w:b/>
                <w:color w:val="0070C0"/>
              </w:rPr>
              <w:t>2</w:t>
            </w:r>
            <w:r>
              <w:rPr>
                <w:b/>
                <w:color w:val="0070C0"/>
              </w:rPr>
              <w:t>-25)</w:t>
            </w:r>
            <w:r>
              <w:t xml:space="preserve"> </w:t>
            </w:r>
          </w:p>
        </w:tc>
      </w:tr>
      <w:tr w:rsidR="00FF3582" w:rsidTr="00B06AED">
        <w:trPr>
          <w:trHeight w:val="257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F3582" w:rsidRDefault="00B06AED">
            <w:pPr>
              <w:ind w:right="108"/>
              <w:jc w:val="center"/>
            </w:pPr>
            <w:r>
              <w:rPr>
                <w:b/>
                <w:color w:val="002060"/>
              </w:rPr>
              <w:t>H</w:t>
            </w:r>
            <w:r>
              <w:rPr>
                <w:b/>
                <w:color w:val="002060"/>
                <w:sz w:val="15"/>
              </w:rPr>
              <w:t xml:space="preserve">IERARCHIQUE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>
            <w:pPr>
              <w:ind w:right="115"/>
              <w:jc w:val="center"/>
            </w:pPr>
            <w:r>
              <w:rPr>
                <w:b/>
                <w:color w:val="002060"/>
              </w:rPr>
              <w:t>R</w:t>
            </w:r>
            <w:r>
              <w:rPr>
                <w:b/>
                <w:color w:val="002060"/>
                <w:sz w:val="15"/>
              </w:rPr>
              <w:t xml:space="preserve">ESPONSABLE </w:t>
            </w:r>
            <w:r>
              <w:rPr>
                <w:b/>
                <w:color w:val="002060"/>
              </w:rPr>
              <w:t>S</w:t>
            </w:r>
            <w:r>
              <w:rPr>
                <w:b/>
                <w:color w:val="002060"/>
                <w:sz w:val="15"/>
              </w:rPr>
              <w:t xml:space="preserve">ERVICE </w:t>
            </w:r>
            <w:r>
              <w:rPr>
                <w:b/>
                <w:color w:val="002060"/>
              </w:rPr>
              <w:t>A</w:t>
            </w:r>
            <w:r>
              <w:rPr>
                <w:b/>
                <w:color w:val="002060"/>
                <w:sz w:val="15"/>
              </w:rPr>
              <w:t xml:space="preserve">SSAINISSEMENT </w:t>
            </w:r>
            <w:r>
              <w:rPr>
                <w:b/>
                <w:color w:val="002060"/>
              </w:rPr>
              <w:t>M</w:t>
            </w:r>
            <w:r>
              <w:rPr>
                <w:b/>
                <w:color w:val="002060"/>
                <w:sz w:val="15"/>
              </w:rPr>
              <w:t xml:space="preserve">OYEN ET </w:t>
            </w:r>
            <w:r>
              <w:rPr>
                <w:b/>
                <w:color w:val="002060"/>
              </w:rPr>
              <w:t>H</w:t>
            </w:r>
            <w:r>
              <w:rPr>
                <w:b/>
                <w:color w:val="002060"/>
                <w:sz w:val="15"/>
              </w:rPr>
              <w:t xml:space="preserve">AUT </w:t>
            </w:r>
            <w:r>
              <w:rPr>
                <w:b/>
                <w:color w:val="002060"/>
              </w:rPr>
              <w:t>P</w:t>
            </w:r>
            <w:r>
              <w:rPr>
                <w:b/>
                <w:color w:val="002060"/>
                <w:sz w:val="15"/>
              </w:rPr>
              <w:t>AYS</w:t>
            </w:r>
            <w:r>
              <w:rPr>
                <w:b/>
                <w:color w:val="001F5F"/>
                <w:sz w:val="15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FF3582" w:rsidTr="00B06AED">
        <w:trPr>
          <w:trHeight w:val="674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:rsidR="00FF3582" w:rsidRDefault="00B06AED">
            <w:pPr>
              <w:ind w:right="110"/>
              <w:jc w:val="center"/>
            </w:pPr>
            <w:r>
              <w:rPr>
                <w:b/>
                <w:color w:val="002060"/>
              </w:rPr>
              <w:t>R</w:t>
            </w:r>
            <w:r>
              <w:rPr>
                <w:b/>
                <w:color w:val="002060"/>
                <w:sz w:val="15"/>
              </w:rPr>
              <w:t>AISON D</w:t>
            </w:r>
            <w:r>
              <w:rPr>
                <w:b/>
                <w:color w:val="002060"/>
              </w:rPr>
              <w:t>’</w:t>
            </w:r>
            <w:r>
              <w:rPr>
                <w:b/>
                <w:color w:val="002060"/>
                <w:sz w:val="15"/>
              </w:rPr>
              <w:t xml:space="preserve">ETRE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 w:rsidP="00C97CF3">
            <w:pPr>
              <w:ind w:right="53"/>
              <w:jc w:val="both"/>
            </w:pPr>
            <w:r>
              <w:t xml:space="preserve">Assurer l’encadrement de l’équipe en coordination avec le responsable de service et la gestion de l’exploitation des réseaux d’assainissement (environ </w:t>
            </w:r>
            <w:r w:rsidR="00C97CF3">
              <w:t>220</w:t>
            </w:r>
            <w:r>
              <w:t xml:space="preserve"> km), des postes de relevage (une </w:t>
            </w:r>
            <w:r w:rsidR="00C97CF3">
              <w:t>cinquantaine</w:t>
            </w:r>
            <w:r>
              <w:t>) et des stations d’épuration (</w:t>
            </w:r>
            <w:r w:rsidR="00C97CF3">
              <w:t>8</w:t>
            </w:r>
            <w:r>
              <w:t xml:space="preserve">). </w:t>
            </w:r>
          </w:p>
        </w:tc>
      </w:tr>
      <w:tr w:rsidR="00FF3582" w:rsidTr="00B06AED">
        <w:trPr>
          <w:trHeight w:val="6606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:rsidR="00FF3582" w:rsidRDefault="00B06AED">
            <w:pPr>
              <w:ind w:right="51"/>
              <w:jc w:val="center"/>
            </w:pPr>
            <w:r>
              <w:rPr>
                <w:b/>
                <w:color w:val="002060"/>
              </w:rPr>
              <w:t>D</w:t>
            </w:r>
            <w:r>
              <w:rPr>
                <w:b/>
                <w:color w:val="002060"/>
                <w:sz w:val="15"/>
              </w:rPr>
              <w:t xml:space="preserve">ESCRIPTION DES </w:t>
            </w:r>
          </w:p>
          <w:p w:rsidR="00FF3582" w:rsidRDefault="00B06AED">
            <w:pPr>
              <w:spacing w:after="64"/>
              <w:ind w:right="56"/>
              <w:jc w:val="center"/>
            </w:pPr>
            <w:r>
              <w:rPr>
                <w:b/>
                <w:color w:val="002060"/>
                <w:sz w:val="15"/>
              </w:rPr>
              <w:t xml:space="preserve">MISSIONS ET TACHES </w:t>
            </w:r>
          </w:p>
          <w:p w:rsidR="00FF3582" w:rsidRDefault="00B06AED">
            <w:pPr>
              <w:ind w:right="52"/>
              <w:jc w:val="center"/>
            </w:pPr>
            <w:r>
              <w:rPr>
                <w:b/>
                <w:color w:val="002060"/>
                <w:sz w:val="15"/>
              </w:rPr>
              <w:t xml:space="preserve">PRINCIPALES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 w:rsidP="00145098">
            <w:pPr>
              <w:numPr>
                <w:ilvl w:val="0"/>
                <w:numId w:val="1"/>
              </w:numPr>
              <w:spacing w:after="9" w:line="242" w:lineRule="auto"/>
              <w:ind w:hanging="313"/>
              <w:jc w:val="both"/>
            </w:pPr>
            <w:r>
              <w:t xml:space="preserve">Encadrer les agents d’exploitation du </w:t>
            </w:r>
            <w:r w:rsidR="00C97CF3">
              <w:t>Moyen</w:t>
            </w:r>
            <w:r>
              <w:t xml:space="preserve"> Pays, contrôler et faire respe</w:t>
            </w:r>
            <w:r w:rsidR="00145098">
              <w:t>cter les consignes de sécurité ;</w:t>
            </w:r>
            <w:r>
              <w:t xml:space="preserve">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line="276" w:lineRule="auto"/>
              <w:ind w:hanging="313"/>
              <w:jc w:val="both"/>
            </w:pPr>
            <w:r>
              <w:t xml:space="preserve">Etablir et suivre les plannings de pompages des boues des STEP, en lien avec le prestataire et la STEP d’Haliotis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line="250" w:lineRule="auto"/>
              <w:ind w:hanging="313"/>
              <w:jc w:val="both"/>
            </w:pPr>
            <w:r>
              <w:t xml:space="preserve">Etablir et suivre les plannings de curages et de pompages préventifs et curatifs (désobstructions) des réseaux et PR)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9" w:line="243" w:lineRule="auto"/>
              <w:ind w:hanging="313"/>
              <w:jc w:val="both"/>
            </w:pPr>
            <w:r>
              <w:t xml:space="preserve">Programmer les inspections télévisées sur les réseaux, contrôler et interpréter les rapports ITV en vue de programmation de travaux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ind w:hanging="313"/>
              <w:jc w:val="both"/>
            </w:pPr>
            <w:r>
              <w:t xml:space="preserve">Programmer et gérer les réparations de type casse réseaux et rehausse regards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7" w:line="243" w:lineRule="auto"/>
              <w:ind w:hanging="313"/>
              <w:jc w:val="both"/>
            </w:pPr>
            <w:r>
              <w:t xml:space="preserve">Identifier les « points noirs » réseaux en vue du programme annuel de travaux en collaboration avec le service patrimoine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ind w:hanging="313"/>
              <w:jc w:val="both"/>
            </w:pPr>
            <w:r>
              <w:t xml:space="preserve">Gérer les réclamations réseaux : obstructions, enquêtes, odeurs, infiltrations, etc.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16"/>
              <w:ind w:hanging="313"/>
              <w:jc w:val="both"/>
            </w:pPr>
            <w:r>
              <w:t xml:space="preserve">Suivre et programmer les visites techniques liées aux demandes de branchements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7" w:line="243" w:lineRule="auto"/>
              <w:ind w:hanging="313"/>
              <w:jc w:val="both"/>
            </w:pPr>
            <w:r>
              <w:t xml:space="preserve">Suivre et classer les documents d’intervention des prestataires et les documents réglementaires de suivi des déchets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19"/>
              <w:ind w:hanging="313"/>
              <w:jc w:val="both"/>
            </w:pPr>
            <w:r>
              <w:t xml:space="preserve">Contrôler les plans réseau pour mise à jour du SIG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11"/>
              <w:ind w:hanging="313"/>
              <w:jc w:val="both"/>
            </w:pPr>
            <w:r>
              <w:t xml:space="preserve">Suivre la mise à jour des journaux d’exploitation liés aux CDV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20"/>
              <w:ind w:hanging="313"/>
              <w:jc w:val="both"/>
            </w:pPr>
            <w:r>
              <w:t>Assurer le suivi et le respect des calendriers d’</w:t>
            </w:r>
            <w:proofErr w:type="spellStart"/>
            <w:r>
              <w:t>autosurveillance</w:t>
            </w:r>
            <w:proofErr w:type="spellEnd"/>
            <w:r>
              <w:t xml:space="preserve"> avec les équipes terrain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13" w:line="242" w:lineRule="auto"/>
              <w:ind w:hanging="313"/>
              <w:jc w:val="both"/>
            </w:pPr>
            <w:r>
              <w:t>Collecter et interpréter les données d’</w:t>
            </w:r>
            <w:proofErr w:type="spellStart"/>
            <w:r>
              <w:t>autosurveillance</w:t>
            </w:r>
            <w:proofErr w:type="spellEnd"/>
            <w:r>
              <w:t xml:space="preserve"> liées aux bilans, les saisir sur le logiciel « mesure STEP » format Sandre et les transmettre au service CSAS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9" w:line="243" w:lineRule="auto"/>
              <w:ind w:hanging="313"/>
              <w:jc w:val="both"/>
            </w:pPr>
            <w:r>
              <w:t>Rédiger et assurer la mise à jour des Cahier De Vie / Manuel d’</w:t>
            </w:r>
            <w:proofErr w:type="spellStart"/>
            <w:r>
              <w:t>autosurveillance</w:t>
            </w:r>
            <w:proofErr w:type="spellEnd"/>
            <w:r>
              <w:t xml:space="preserve"> / Analyse de Risque de Défaillance avec le service CSAS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20"/>
              <w:ind w:hanging="313"/>
              <w:jc w:val="both"/>
            </w:pPr>
            <w:r>
              <w:t xml:space="preserve">Analyser et optimiser les réglages Process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ind w:hanging="313"/>
              <w:jc w:val="both"/>
            </w:pPr>
            <w:r>
              <w:t xml:space="preserve">Participer à l’élaboration des bilans annuels de fonctionnement des systèmes d’assainissement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ind w:hanging="313"/>
              <w:jc w:val="both"/>
            </w:pPr>
            <w:r>
              <w:t xml:space="preserve">Assurer le suivi de la métrologie des systèmes en lien avec la DTI/AIES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21"/>
              <w:ind w:hanging="313"/>
              <w:jc w:val="both"/>
            </w:pPr>
            <w:r>
              <w:t xml:space="preserve">Participer aux audits réglementaires ; </w:t>
            </w:r>
          </w:p>
          <w:p w:rsidR="00FF3582" w:rsidRDefault="00B06AED" w:rsidP="00145098">
            <w:pPr>
              <w:numPr>
                <w:ilvl w:val="0"/>
                <w:numId w:val="1"/>
              </w:numPr>
              <w:spacing w:after="5" w:line="276" w:lineRule="auto"/>
              <w:ind w:hanging="313"/>
              <w:jc w:val="both"/>
            </w:pPr>
            <w:r>
              <w:t xml:space="preserve">Assurer le reporting de l’activité (fiches intervention, rapports d’intervention, rapports d’audits, remarques d’audits...) ; </w:t>
            </w:r>
          </w:p>
          <w:p w:rsidR="00752ACD" w:rsidRDefault="00B06AED" w:rsidP="00145098">
            <w:pPr>
              <w:numPr>
                <w:ilvl w:val="0"/>
                <w:numId w:val="1"/>
              </w:numPr>
              <w:ind w:hanging="313"/>
              <w:jc w:val="both"/>
            </w:pPr>
            <w:r>
              <w:t>Assurer le suivi réglementaire et organisationnel des campagnes d’épandage</w:t>
            </w:r>
          </w:p>
          <w:p w:rsidR="00FF3582" w:rsidRDefault="00B06AED" w:rsidP="00145098">
            <w:pPr>
              <w:jc w:val="both"/>
            </w:pPr>
            <w:r>
              <w:t xml:space="preserve">PS : Poste soumis à l’astreinte. </w:t>
            </w:r>
          </w:p>
        </w:tc>
      </w:tr>
      <w:tr w:rsidR="00FF3582">
        <w:trPr>
          <w:trHeight w:val="247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FF3582" w:rsidRDefault="00B06AED">
            <w:pPr>
              <w:ind w:right="53"/>
              <w:jc w:val="center"/>
            </w:pPr>
            <w:r>
              <w:rPr>
                <w:b/>
                <w:color w:val="002060"/>
              </w:rPr>
              <w:t>P</w:t>
            </w:r>
            <w:r>
              <w:rPr>
                <w:b/>
                <w:color w:val="002060"/>
                <w:sz w:val="15"/>
              </w:rPr>
              <w:t>ROFIL REQUIS</w:t>
            </w:r>
            <w:r>
              <w:t xml:space="preserve"> </w:t>
            </w:r>
          </w:p>
        </w:tc>
      </w:tr>
      <w:tr w:rsidR="00FF3582" w:rsidTr="00B06AED">
        <w:trPr>
          <w:trHeight w:val="1561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:rsidR="00FF3582" w:rsidRDefault="00B06AED">
            <w:pPr>
              <w:spacing w:after="23"/>
              <w:ind w:right="50"/>
              <w:jc w:val="center"/>
            </w:pPr>
            <w:r>
              <w:rPr>
                <w:b/>
                <w:color w:val="002060"/>
              </w:rPr>
              <w:t>C</w:t>
            </w:r>
            <w:r>
              <w:rPr>
                <w:b/>
                <w:color w:val="002060"/>
                <w:sz w:val="15"/>
              </w:rPr>
              <w:t xml:space="preserve">OMPETENCES </w:t>
            </w:r>
          </w:p>
          <w:p w:rsidR="00FF3582" w:rsidRDefault="00B06AED">
            <w:pPr>
              <w:ind w:right="52"/>
              <w:jc w:val="center"/>
            </w:pPr>
            <w:r>
              <w:rPr>
                <w:b/>
                <w:color w:val="002060"/>
                <w:sz w:val="15"/>
              </w:rPr>
              <w:t xml:space="preserve">TECHNIQUES </w:t>
            </w:r>
            <w: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Management d’équipes d’exploitation </w:t>
            </w:r>
          </w:p>
          <w:p w:rsidR="00C97CF3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Excellentes connaissances des systèmes d’assainissement et des process de station d’épuration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Bonne connaissance en électromécanique (lecture de schémas, dépannage)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Connaissances de la règlementation dans le domaine de l’assainissement.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Bonne connaissance et maîtrise de l’exploitation 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Connaissances dans l’application des règles de sécurité 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Maîtrise des outils informatiques techniques et bureautiques  </w:t>
            </w:r>
          </w:p>
        </w:tc>
      </w:tr>
      <w:tr w:rsidR="00FF3582" w:rsidTr="00B06AED">
        <w:trPr>
          <w:trHeight w:val="720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F3582" w:rsidRDefault="00B06AED" w:rsidP="00145098">
            <w:pPr>
              <w:spacing w:after="24"/>
              <w:ind w:right="52"/>
              <w:jc w:val="center"/>
            </w:pPr>
            <w:r>
              <w:rPr>
                <w:b/>
                <w:color w:val="002060"/>
              </w:rPr>
              <w:t>E</w:t>
            </w:r>
            <w:r>
              <w:rPr>
                <w:b/>
                <w:color w:val="002060"/>
                <w:sz w:val="15"/>
              </w:rPr>
              <w:t>XPERIENCES</w:t>
            </w:r>
          </w:p>
          <w:p w:rsidR="00FF3582" w:rsidRDefault="00B06AED" w:rsidP="00145098">
            <w:pPr>
              <w:ind w:left="98" w:firstLine="48"/>
              <w:jc w:val="center"/>
            </w:pPr>
            <w:r>
              <w:rPr>
                <w:b/>
                <w:color w:val="002060"/>
                <w:sz w:val="15"/>
              </w:rPr>
              <w:t xml:space="preserve">PROFESSIONNELLES ET 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F</w:t>
            </w:r>
            <w:r>
              <w:rPr>
                <w:b/>
                <w:color w:val="002060"/>
                <w:sz w:val="15"/>
              </w:rPr>
              <w:t>ORMATION SOUHAITEE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>
            <w:pPr>
              <w:numPr>
                <w:ilvl w:val="0"/>
                <w:numId w:val="3"/>
              </w:numPr>
              <w:spacing w:line="283" w:lineRule="auto"/>
              <w:ind w:hanging="320"/>
            </w:pPr>
            <w:r>
              <w:t xml:space="preserve">BTS ou école d’ingénieur avec spécialité eau/assainissement et expérience de 5 ans minimum dans l’exploitation de stations d’épuration et de réseaux d’assainissement. </w:t>
            </w:r>
          </w:p>
          <w:p w:rsidR="00FF3582" w:rsidRDefault="00B06AED">
            <w:pPr>
              <w:numPr>
                <w:ilvl w:val="0"/>
                <w:numId w:val="3"/>
              </w:numPr>
              <w:ind w:hanging="320"/>
            </w:pPr>
            <w:r>
              <w:t xml:space="preserve">Permis B obligatoire et Formation CATEC </w:t>
            </w:r>
          </w:p>
        </w:tc>
      </w:tr>
      <w:tr w:rsidR="00FF3582" w:rsidTr="00B06AED">
        <w:trPr>
          <w:trHeight w:val="1339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:rsidR="00FF3582" w:rsidRDefault="00B06AED">
            <w:pPr>
              <w:ind w:left="43"/>
            </w:pPr>
            <w:r>
              <w:rPr>
                <w:b/>
                <w:color w:val="002060"/>
              </w:rPr>
              <w:t>Q</w:t>
            </w:r>
            <w:r>
              <w:rPr>
                <w:b/>
                <w:color w:val="002060"/>
                <w:sz w:val="15"/>
              </w:rPr>
              <w:t xml:space="preserve">UALITES RECHERCHEES </w:t>
            </w:r>
            <w:r>
              <w:rPr>
                <w:b/>
              </w:rPr>
              <w:t xml:space="preserve">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Sérieux, rigueur. </w:t>
            </w:r>
          </w:p>
          <w:p w:rsidR="00145098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Sens de l’organisation, sens du travail en équipe et qualités relationnelles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Qualités rédactionnelles. </w:t>
            </w:r>
          </w:p>
          <w:p w:rsidR="00C97CF3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Esprit de synthèse et d’initiative.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Polyvalence. </w:t>
            </w:r>
          </w:p>
          <w:p w:rsidR="00FF3582" w:rsidRDefault="00B06AED" w:rsidP="001432CD">
            <w:pPr>
              <w:numPr>
                <w:ilvl w:val="0"/>
                <w:numId w:val="1"/>
              </w:numPr>
              <w:ind w:hanging="313"/>
            </w:pPr>
            <w:r>
              <w:t xml:space="preserve">Sens du service public et de la satisfaction du client. </w:t>
            </w:r>
          </w:p>
        </w:tc>
      </w:tr>
      <w:tr w:rsidR="00FF3582">
        <w:trPr>
          <w:trHeight w:val="245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FF3582" w:rsidRDefault="00B06AED" w:rsidP="00EB50CA">
            <w:pPr>
              <w:tabs>
                <w:tab w:val="center" w:pos="5059"/>
              </w:tabs>
              <w:jc w:val="center"/>
            </w:pPr>
            <w:r>
              <w:rPr>
                <w:b/>
                <w:color w:val="002060"/>
              </w:rPr>
              <w:t>CE POSTE VOUS INTÉRESSE ?</w:t>
            </w:r>
          </w:p>
        </w:tc>
      </w:tr>
      <w:tr w:rsidR="00FF3582" w:rsidTr="00B06AED">
        <w:trPr>
          <w:trHeight w:val="490"/>
        </w:trPr>
        <w:tc>
          <w:tcPr>
            <w:tcW w:w="21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:rsidR="00FF3582" w:rsidRDefault="00B06AED">
            <w:pPr>
              <w:ind w:left="55" w:right="26"/>
              <w:jc w:val="center"/>
            </w:pPr>
            <w:r>
              <w:rPr>
                <w:b/>
                <w:color w:val="002060"/>
              </w:rPr>
              <w:t>L</w:t>
            </w:r>
            <w:r>
              <w:rPr>
                <w:b/>
                <w:color w:val="002060"/>
                <w:sz w:val="15"/>
              </w:rPr>
              <w:t xml:space="preserve">ETTRE DE MOTIVATION ET CV A </w:t>
            </w:r>
            <w:r>
              <w:rPr>
                <w:b/>
                <w:color w:val="002060"/>
              </w:rPr>
              <w:t xml:space="preserve">/ </w:t>
            </w:r>
          </w:p>
        </w:tc>
        <w:tc>
          <w:tcPr>
            <w:tcW w:w="8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:rsidR="00C97CF3" w:rsidRDefault="00B61B7F" w:rsidP="00C97CF3">
            <w:pPr>
              <w:ind w:right="2867"/>
            </w:pPr>
            <w:r>
              <w:t xml:space="preserve">Dominika BANKOWSKA : </w:t>
            </w:r>
            <w:hyperlink r:id="rId7" w:history="1">
              <w:r w:rsidRPr="00083805">
                <w:rPr>
                  <w:rStyle w:val="Lienhypertexte"/>
                </w:rPr>
                <w:t>dominika.bankowska@eaudazur.com</w:t>
              </w:r>
            </w:hyperlink>
            <w:r>
              <w:t xml:space="preserve"> </w:t>
            </w:r>
          </w:p>
          <w:p w:rsidR="00FF3582" w:rsidRDefault="00B06AED" w:rsidP="00C97CF3">
            <w:pPr>
              <w:ind w:right="2867"/>
            </w:pPr>
            <w:r>
              <w:t xml:space="preserve">Roland FABBRIZIOLI : </w:t>
            </w:r>
            <w:r>
              <w:rPr>
                <w:color w:val="0000FF"/>
                <w:u w:val="single" w:color="0000FF"/>
              </w:rPr>
              <w:t>roland.fabbrizioli@eaudazur.com</w:t>
            </w:r>
            <w:r>
              <w:t xml:space="preserve"> </w:t>
            </w:r>
            <w:r w:rsidR="00B61B7F">
              <w:t xml:space="preserve"> </w:t>
            </w:r>
          </w:p>
        </w:tc>
      </w:tr>
    </w:tbl>
    <w:p w:rsidR="00FF3582" w:rsidRPr="00EB50CA" w:rsidRDefault="00FF3582" w:rsidP="00EB50CA">
      <w:pPr>
        <w:rPr>
          <w:sz w:val="14"/>
        </w:rPr>
      </w:pPr>
    </w:p>
    <w:sectPr w:rsidR="00FF3582" w:rsidRPr="00EB50CA" w:rsidSect="00145098">
      <w:headerReference w:type="default" r:id="rId8"/>
      <w:pgSz w:w="11906" w:h="16838"/>
      <w:pgMar w:top="720" w:right="720" w:bottom="284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4D" w:rsidRDefault="00DB394D" w:rsidP="00C97CF3">
      <w:pPr>
        <w:spacing w:line="240" w:lineRule="auto"/>
      </w:pPr>
      <w:r>
        <w:separator/>
      </w:r>
    </w:p>
  </w:endnote>
  <w:endnote w:type="continuationSeparator" w:id="0">
    <w:p w:rsidR="00DB394D" w:rsidRDefault="00DB394D" w:rsidP="00C97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4D" w:rsidRDefault="00DB394D" w:rsidP="00C97CF3">
      <w:pPr>
        <w:spacing w:line="240" w:lineRule="auto"/>
      </w:pPr>
      <w:r>
        <w:separator/>
      </w:r>
    </w:p>
  </w:footnote>
  <w:footnote w:type="continuationSeparator" w:id="0">
    <w:p w:rsidR="00DB394D" w:rsidRDefault="00DB394D" w:rsidP="00C97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F3" w:rsidRDefault="00C97C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54FF206" wp14:editId="2704B675">
          <wp:simplePos x="0" y="0"/>
          <wp:positionH relativeFrom="column">
            <wp:posOffset>-205105</wp:posOffset>
          </wp:positionH>
          <wp:positionV relativeFrom="paragraph">
            <wp:posOffset>-338455</wp:posOffset>
          </wp:positionV>
          <wp:extent cx="2414270" cy="732155"/>
          <wp:effectExtent l="0" t="0" r="0" b="0"/>
          <wp:wrapSquare wrapText="bothSides"/>
          <wp:docPr id="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427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44AB"/>
    <w:multiLevelType w:val="hybridMultilevel"/>
    <w:tmpl w:val="41F230B8"/>
    <w:lvl w:ilvl="0" w:tplc="77E03FAA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6EE2A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CA036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BAD3D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D0245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C42A6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8C31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40EF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A7C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E7310"/>
    <w:multiLevelType w:val="hybridMultilevel"/>
    <w:tmpl w:val="DA686A62"/>
    <w:lvl w:ilvl="0" w:tplc="D1CE5694">
      <w:start w:val="1"/>
      <w:numFmt w:val="bullet"/>
      <w:lvlText w:val="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0495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A2FB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9C3C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6F0B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0C061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AA49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6559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C0F4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52D9C"/>
    <w:multiLevelType w:val="hybridMultilevel"/>
    <w:tmpl w:val="ECB0B222"/>
    <w:lvl w:ilvl="0" w:tplc="5CE89EDC">
      <w:start w:val="1"/>
      <w:numFmt w:val="bullet"/>
      <w:lvlText w:val=""/>
      <w:lvlJc w:val="left"/>
      <w:pPr>
        <w:ind w:left="3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AE98F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A59A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86529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0E12D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1D3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CAD2E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0281B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06374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4F50E3"/>
    <w:multiLevelType w:val="hybridMultilevel"/>
    <w:tmpl w:val="93D6DDA8"/>
    <w:lvl w:ilvl="0" w:tplc="FD3EEFD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C2C0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066FF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A00B6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204B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83E0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36D13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4971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66E3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82"/>
    <w:rsid w:val="001432CD"/>
    <w:rsid w:val="00145098"/>
    <w:rsid w:val="00275E14"/>
    <w:rsid w:val="004C6CA9"/>
    <w:rsid w:val="00752ACD"/>
    <w:rsid w:val="00B06AED"/>
    <w:rsid w:val="00B210A0"/>
    <w:rsid w:val="00B61B7F"/>
    <w:rsid w:val="00C97CF3"/>
    <w:rsid w:val="00DB394D"/>
    <w:rsid w:val="00EB50CA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90FF"/>
  <w15:docId w15:val="{E3387797-C71C-40F8-BB93-61CACE9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97CF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CF3"/>
    <w:rPr>
      <w:rFonts w:ascii="Arial" w:eastAsia="Arial" w:hAnsi="Arial" w:cs="Arial"/>
      <w:color w:val="000000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C97CF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CF3"/>
    <w:rPr>
      <w:rFonts w:ascii="Arial" w:eastAsia="Arial" w:hAnsi="Arial" w:cs="Arial"/>
      <w:color w:val="000000"/>
      <w:sz w:val="19"/>
    </w:rPr>
  </w:style>
  <w:style w:type="paragraph" w:styleId="Paragraphedeliste">
    <w:name w:val="List Paragraph"/>
    <w:basedOn w:val="Normal"/>
    <w:uiPriority w:val="34"/>
    <w:qFormat/>
    <w:rsid w:val="001432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1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ka.bankowska@eaudaz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LANSELLE Romain</cp:lastModifiedBy>
  <cp:revision>6</cp:revision>
  <cp:lastPrinted>2025-05-13T20:25:00Z</cp:lastPrinted>
  <dcterms:created xsi:type="dcterms:W3CDTF">2025-04-28T09:05:00Z</dcterms:created>
  <dcterms:modified xsi:type="dcterms:W3CDTF">2025-05-26T12:09:00Z</dcterms:modified>
</cp:coreProperties>
</file>