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59" w:rsidRPr="00FD5D44" w:rsidRDefault="00A25959" w:rsidP="003D7ADF">
      <w:pPr>
        <w:tabs>
          <w:tab w:val="left" w:pos="2552"/>
        </w:tabs>
        <w:ind w:left="-709" w:right="-284"/>
        <w:jc w:val="both"/>
        <w:rPr>
          <w:rFonts w:ascii="Arial" w:hAnsi="Arial" w:cs="Arial"/>
          <w:sz w:val="1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221"/>
      </w:tblGrid>
      <w:tr w:rsidR="00814546" w:rsidRPr="002F3256" w:rsidTr="002F3256">
        <w:trPr>
          <w:trHeight w:val="57"/>
        </w:trPr>
        <w:tc>
          <w:tcPr>
            <w:tcW w:w="2269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814546" w:rsidRPr="002F3256" w:rsidRDefault="00814546" w:rsidP="002F325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2F3256">
              <w:rPr>
                <w:rFonts w:ascii="Arial" w:hAnsi="Arial" w:cs="Arial"/>
                <w:b/>
                <w:smallCaps/>
                <w:color w:val="002060"/>
              </w:rPr>
              <w:t>Localisation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:rsidR="00814546" w:rsidRPr="002F3256" w:rsidRDefault="00CF1B5A" w:rsidP="002F325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bookmarkStart w:id="0" w:name="_GoBack"/>
            <w:bookmarkEnd w:id="0"/>
            <w:r w:rsidRPr="002F3256">
              <w:rPr>
                <w:rFonts w:ascii="Arial" w:hAnsi="Arial" w:cs="Arial"/>
                <w:b/>
                <w:smallCaps/>
                <w:color w:val="002060"/>
              </w:rPr>
              <w:t>Eau d’Azur –</w:t>
            </w:r>
            <w:r w:rsidR="000660D5" w:rsidRPr="002F3256">
              <w:rPr>
                <w:rFonts w:ascii="Arial" w:hAnsi="Arial" w:cs="Arial"/>
                <w:b/>
                <w:smallCaps/>
                <w:color w:val="002060"/>
              </w:rPr>
              <w:t xml:space="preserve">Phoenix </w:t>
            </w:r>
            <w:r w:rsidR="003D7ADF" w:rsidRPr="002F3256">
              <w:rPr>
                <w:rFonts w:ascii="Arial" w:hAnsi="Arial" w:cs="Arial"/>
                <w:b/>
                <w:smallCaps/>
                <w:color w:val="002060"/>
              </w:rPr>
              <w:t xml:space="preserve">Nice </w:t>
            </w:r>
            <w:r w:rsidR="002F3256" w:rsidRPr="002F3256">
              <w:rPr>
                <w:rFonts w:ascii="Arial" w:hAnsi="Arial" w:cs="Arial"/>
                <w:b/>
                <w:smallCaps/>
                <w:color w:val="002060"/>
              </w:rPr>
              <w:t>Arénas</w:t>
            </w:r>
          </w:p>
        </w:tc>
      </w:tr>
      <w:tr w:rsidR="00814546" w:rsidRPr="002F3256" w:rsidTr="0005690B">
        <w:trPr>
          <w:cantSplit/>
          <w:trHeight w:val="20"/>
        </w:trPr>
        <w:tc>
          <w:tcPr>
            <w:tcW w:w="22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14546" w:rsidRPr="002F3256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2F3256">
              <w:rPr>
                <w:rFonts w:ascii="Arial" w:hAnsi="Arial" w:cs="Arial"/>
                <w:b/>
                <w:smallCaps/>
                <w:color w:val="002060"/>
              </w:rPr>
              <w:t>Intitulé du poste</w:t>
            </w:r>
          </w:p>
        </w:tc>
        <w:tc>
          <w:tcPr>
            <w:tcW w:w="8221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0660D5" w:rsidRPr="002F3256" w:rsidRDefault="000660D5" w:rsidP="000660D5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  <w:lang w:val="en-US"/>
              </w:rPr>
            </w:pPr>
            <w:r w:rsidRPr="002F3256">
              <w:rPr>
                <w:rFonts w:ascii="Arial" w:hAnsi="Arial" w:cs="Arial"/>
                <w:b/>
                <w:color w:val="002060"/>
                <w:lang w:val="en-US"/>
              </w:rPr>
              <w:t>DIRECTEUR ACHATS &amp; AFFAIRES JURIDIQUES</w:t>
            </w:r>
          </w:p>
          <w:p w:rsidR="00814546" w:rsidRPr="002F3256" w:rsidRDefault="00814546" w:rsidP="006D3ED4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70C0"/>
                <w:lang w:val="en-US"/>
              </w:rPr>
            </w:pPr>
            <w:r w:rsidRPr="002F3256">
              <w:rPr>
                <w:rFonts w:ascii="Arial" w:hAnsi="Arial" w:cs="Arial"/>
                <w:b/>
                <w:color w:val="0070C0"/>
                <w:lang w:val="en-US"/>
              </w:rPr>
              <w:t>(REA</w:t>
            </w:r>
            <w:r w:rsidR="009F73F8">
              <w:rPr>
                <w:rFonts w:ascii="Arial" w:hAnsi="Arial" w:cs="Arial"/>
                <w:b/>
                <w:color w:val="0070C0"/>
                <w:lang w:val="en-US"/>
              </w:rPr>
              <w:t>04</w:t>
            </w:r>
            <w:r w:rsidR="006D3ED4">
              <w:rPr>
                <w:rFonts w:ascii="Arial" w:hAnsi="Arial" w:cs="Arial"/>
                <w:b/>
                <w:color w:val="0070C0"/>
                <w:lang w:val="en-US"/>
              </w:rPr>
              <w:t>1</w:t>
            </w:r>
            <w:r w:rsidRPr="002F3256">
              <w:rPr>
                <w:rFonts w:ascii="Arial" w:hAnsi="Arial" w:cs="Arial"/>
                <w:b/>
                <w:color w:val="0070C0"/>
                <w:lang w:val="en-US"/>
              </w:rPr>
              <w:t>-2</w:t>
            </w:r>
            <w:r w:rsidR="000660D5" w:rsidRPr="002F3256">
              <w:rPr>
                <w:rFonts w:ascii="Arial" w:hAnsi="Arial" w:cs="Arial"/>
                <w:b/>
                <w:color w:val="0070C0"/>
                <w:lang w:val="en-US"/>
              </w:rPr>
              <w:t>5</w:t>
            </w:r>
            <w:r w:rsidRPr="002F3256">
              <w:rPr>
                <w:rFonts w:ascii="Arial" w:hAnsi="Arial" w:cs="Arial"/>
                <w:b/>
                <w:color w:val="0070C0"/>
                <w:lang w:val="en-US"/>
              </w:rPr>
              <w:t>)</w:t>
            </w:r>
          </w:p>
        </w:tc>
      </w:tr>
      <w:tr w:rsidR="00CF1B5A" w:rsidRPr="002F3256" w:rsidTr="0005690B">
        <w:trPr>
          <w:cantSplit/>
          <w:trHeight w:val="20"/>
        </w:trPr>
        <w:tc>
          <w:tcPr>
            <w:tcW w:w="22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CF1B5A" w:rsidRPr="002F3256" w:rsidRDefault="00CF1B5A" w:rsidP="00CF1B5A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2F3256">
              <w:rPr>
                <w:rFonts w:ascii="Arial" w:hAnsi="Arial" w:cs="Arial"/>
                <w:b/>
                <w:smallCaps/>
                <w:color w:val="002060"/>
              </w:rPr>
              <w:t>Hiérarchique</w:t>
            </w:r>
          </w:p>
        </w:tc>
        <w:tc>
          <w:tcPr>
            <w:tcW w:w="82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:rsidR="00CF1B5A" w:rsidRPr="002F3256" w:rsidRDefault="000660D5" w:rsidP="00CF1B5A">
            <w:pPr>
              <w:tabs>
                <w:tab w:val="left" w:pos="10348"/>
              </w:tabs>
              <w:jc w:val="center"/>
              <w:rPr>
                <w:rFonts w:ascii="Arial" w:eastAsia="Arial" w:hAnsi="Arial" w:cs="Arial"/>
                <w:b/>
                <w:color w:val="001F5F"/>
              </w:rPr>
            </w:pPr>
            <w:r w:rsidRPr="002F3256">
              <w:rPr>
                <w:rFonts w:ascii="Arial" w:eastAsia="Arial" w:hAnsi="Arial" w:cs="Arial"/>
                <w:b/>
                <w:smallCaps/>
                <w:color w:val="001F5F"/>
              </w:rPr>
              <w:t>Directeur Général</w:t>
            </w:r>
          </w:p>
        </w:tc>
      </w:tr>
      <w:tr w:rsidR="0005690B" w:rsidRPr="00E97721" w:rsidTr="0005690B">
        <w:trPr>
          <w:cantSplit/>
          <w:trHeight w:val="20"/>
        </w:trPr>
        <w:tc>
          <w:tcPr>
            <w:tcW w:w="22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05690B" w:rsidRDefault="0005690B" w:rsidP="00CF1B5A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Contexte</w:t>
            </w:r>
          </w:p>
        </w:tc>
        <w:tc>
          <w:tcPr>
            <w:tcW w:w="82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:rsidR="0005690B" w:rsidRPr="0005690B" w:rsidRDefault="0005690B" w:rsidP="002F3256">
            <w:pPr>
              <w:ind w:right="108"/>
              <w:jc w:val="both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05690B">
              <w:rPr>
                <w:rFonts w:ascii="Arial" w:eastAsia="Arial" w:hAnsi="Arial" w:cs="Arial"/>
                <w:color w:val="000000"/>
              </w:rPr>
              <w:t>Membre du Comité de Direction, le Directeur des Achats et Affaires ju</w:t>
            </w:r>
            <w:r>
              <w:rPr>
                <w:rFonts w:ascii="Arial" w:eastAsia="Arial" w:hAnsi="Arial" w:cs="Arial"/>
                <w:color w:val="000000"/>
              </w:rPr>
              <w:t>ri</w:t>
            </w:r>
            <w:r w:rsidRPr="0005690B">
              <w:rPr>
                <w:rFonts w:ascii="Arial" w:eastAsia="Arial" w:hAnsi="Arial" w:cs="Arial"/>
                <w:color w:val="000000"/>
              </w:rPr>
              <w:t xml:space="preserve">diques </w:t>
            </w:r>
            <w:r w:rsidR="003D7ADF">
              <w:rPr>
                <w:rFonts w:ascii="Arial" w:eastAsia="Arial" w:hAnsi="Arial" w:cs="Arial"/>
                <w:color w:val="000000"/>
              </w:rPr>
              <w:t>a, sous sa responsabilité,</w:t>
            </w:r>
            <w:r>
              <w:rPr>
                <w:rFonts w:ascii="Arial" w:eastAsia="Arial" w:hAnsi="Arial" w:cs="Arial"/>
                <w:color w:val="000000"/>
              </w:rPr>
              <w:t xml:space="preserve"> les services Affaires Générales </w:t>
            </w:r>
            <w:r w:rsidR="002F3256">
              <w:rPr>
                <w:rFonts w:ascii="Arial" w:eastAsia="Arial" w:hAnsi="Arial" w:cs="Arial"/>
                <w:color w:val="000000"/>
              </w:rPr>
              <w:t>&amp;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2F3256">
              <w:rPr>
                <w:rFonts w:ascii="Arial" w:eastAsia="Arial" w:hAnsi="Arial" w:cs="Arial"/>
                <w:color w:val="000000"/>
              </w:rPr>
              <w:t>J</w:t>
            </w:r>
            <w:r>
              <w:rPr>
                <w:rFonts w:ascii="Arial" w:eastAsia="Arial" w:hAnsi="Arial" w:cs="Arial"/>
                <w:color w:val="000000"/>
              </w:rPr>
              <w:t>uridiques, Achats et Marchés Publics et Moyens Généraux</w:t>
            </w:r>
            <w:r w:rsidR="00AA7E08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CF1B5A" w:rsidRPr="00E97721" w:rsidTr="00AA7E08">
        <w:trPr>
          <w:trHeight w:val="397"/>
        </w:trPr>
        <w:tc>
          <w:tcPr>
            <w:tcW w:w="22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F1B5A" w:rsidRPr="00BA7330" w:rsidRDefault="00CF1B5A" w:rsidP="00CF1B5A">
            <w:pPr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Raison d’être</w:t>
            </w:r>
          </w:p>
        </w:tc>
        <w:tc>
          <w:tcPr>
            <w:tcW w:w="8221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0660D5" w:rsidRPr="00CF1B5A" w:rsidRDefault="0005690B" w:rsidP="002F3256">
            <w:pPr>
              <w:ind w:right="108"/>
              <w:jc w:val="both"/>
              <w:textAlignment w:val="baseline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Définir et m</w:t>
            </w:r>
            <w:r w:rsidR="002F3256">
              <w:rPr>
                <w:rFonts w:ascii="Arial" w:eastAsia="Arial" w:hAnsi="Arial" w:cs="Arial"/>
                <w:color w:val="000000"/>
              </w:rPr>
              <w:t xml:space="preserve">ettre en œuvre </w:t>
            </w:r>
            <w:r w:rsidR="000660D5" w:rsidRPr="000660D5">
              <w:rPr>
                <w:rFonts w:ascii="Arial" w:eastAsia="Arial" w:hAnsi="Arial" w:cs="Arial"/>
                <w:color w:val="000000"/>
              </w:rPr>
              <w:t xml:space="preserve">la stratégie </w:t>
            </w:r>
            <w:r w:rsidR="000660D5">
              <w:rPr>
                <w:rFonts w:ascii="Arial" w:eastAsia="Arial" w:hAnsi="Arial" w:cs="Arial"/>
                <w:color w:val="000000"/>
              </w:rPr>
              <w:t xml:space="preserve">et </w:t>
            </w:r>
            <w:r w:rsidR="000660D5" w:rsidRPr="000660D5">
              <w:rPr>
                <w:rFonts w:ascii="Arial" w:eastAsia="Arial" w:hAnsi="Arial" w:cs="Arial"/>
                <w:color w:val="000000"/>
              </w:rPr>
              <w:t xml:space="preserve">la politique </w:t>
            </w:r>
            <w:r w:rsidR="0006061B">
              <w:rPr>
                <w:rFonts w:ascii="Arial" w:eastAsia="Arial" w:hAnsi="Arial" w:cs="Arial"/>
                <w:color w:val="000000"/>
              </w:rPr>
              <w:t xml:space="preserve">juridique et </w:t>
            </w:r>
            <w:r w:rsidR="000660D5" w:rsidRPr="000660D5">
              <w:rPr>
                <w:rFonts w:ascii="Arial" w:eastAsia="Arial" w:hAnsi="Arial" w:cs="Arial"/>
                <w:color w:val="000000"/>
              </w:rPr>
              <w:t xml:space="preserve">achats </w:t>
            </w:r>
            <w:r w:rsidR="000660D5">
              <w:rPr>
                <w:rFonts w:ascii="Arial" w:eastAsia="Arial" w:hAnsi="Arial" w:cs="Arial"/>
                <w:color w:val="000000"/>
              </w:rPr>
              <w:t>de EAU d’AZUR</w:t>
            </w:r>
            <w:r w:rsidR="000660D5" w:rsidRPr="000660D5">
              <w:rPr>
                <w:rFonts w:ascii="Arial" w:eastAsia="Arial" w:hAnsi="Arial" w:cs="Arial"/>
                <w:color w:val="000000"/>
              </w:rPr>
              <w:t xml:space="preserve">, en liaison avec la </w:t>
            </w:r>
            <w:r w:rsidR="0006061B">
              <w:rPr>
                <w:rFonts w:ascii="Arial" w:eastAsia="Arial" w:hAnsi="Arial" w:cs="Arial"/>
                <w:color w:val="000000"/>
              </w:rPr>
              <w:t>D</w:t>
            </w:r>
            <w:r w:rsidR="000660D5" w:rsidRPr="000660D5">
              <w:rPr>
                <w:rFonts w:ascii="Arial" w:eastAsia="Arial" w:hAnsi="Arial" w:cs="Arial"/>
                <w:color w:val="000000"/>
              </w:rPr>
              <w:t xml:space="preserve">irection </w:t>
            </w:r>
            <w:r w:rsidR="0006061B">
              <w:rPr>
                <w:rFonts w:ascii="Arial" w:eastAsia="Arial" w:hAnsi="Arial" w:cs="Arial"/>
                <w:color w:val="000000"/>
              </w:rPr>
              <w:t>G</w:t>
            </w:r>
            <w:r w:rsidR="000660D5" w:rsidRPr="000660D5">
              <w:rPr>
                <w:rFonts w:ascii="Arial" w:eastAsia="Arial" w:hAnsi="Arial" w:cs="Arial"/>
                <w:color w:val="000000"/>
              </w:rPr>
              <w:t xml:space="preserve">énérale et garantir la performance </w:t>
            </w:r>
            <w:r w:rsidR="00211370">
              <w:rPr>
                <w:rFonts w:ascii="Arial" w:eastAsia="Arial" w:hAnsi="Arial" w:cs="Arial"/>
                <w:color w:val="000000"/>
              </w:rPr>
              <w:t xml:space="preserve">globale de la Direction, notamment </w:t>
            </w:r>
            <w:r w:rsidR="000660D5" w:rsidRPr="000660D5">
              <w:rPr>
                <w:rFonts w:ascii="Arial" w:eastAsia="Arial" w:hAnsi="Arial" w:cs="Arial"/>
                <w:color w:val="000000"/>
              </w:rPr>
              <w:t>achat</w:t>
            </w:r>
            <w:r w:rsidR="002F3256">
              <w:rPr>
                <w:rFonts w:ascii="Arial" w:eastAsia="Arial" w:hAnsi="Arial" w:cs="Arial"/>
                <w:color w:val="000000"/>
              </w:rPr>
              <w:t xml:space="preserve">s </w:t>
            </w:r>
            <w:r w:rsidR="00AA7E08">
              <w:rPr>
                <w:rFonts w:ascii="Arial" w:eastAsia="Arial" w:hAnsi="Arial" w:cs="Arial"/>
                <w:color w:val="000000"/>
              </w:rPr>
              <w:t>et des moyens généraux.</w:t>
            </w:r>
          </w:p>
        </w:tc>
      </w:tr>
      <w:tr w:rsidR="00CF1B5A" w:rsidRPr="00E97721" w:rsidTr="0005690B">
        <w:trPr>
          <w:trHeight w:val="170"/>
        </w:trPr>
        <w:tc>
          <w:tcPr>
            <w:tcW w:w="22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F1B5A" w:rsidRPr="00BA7330" w:rsidRDefault="00CF1B5A" w:rsidP="00CF1B5A">
            <w:pPr>
              <w:pStyle w:val="En-tte"/>
              <w:tabs>
                <w:tab w:val="left" w:pos="10348"/>
              </w:tabs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>Description des missions et tâches principales</w:t>
            </w:r>
          </w:p>
        </w:tc>
        <w:tc>
          <w:tcPr>
            <w:tcW w:w="8221" w:type="dxa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:rsidR="00211370" w:rsidRDefault="00211370" w:rsidP="000660D5">
            <w:pPr>
              <w:pStyle w:val="Style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Encadre les équipes </w:t>
            </w:r>
            <w:r w:rsidR="00FD5D44">
              <w:rPr>
                <w:rFonts w:eastAsia="Arial"/>
                <w:color w:val="000000"/>
              </w:rPr>
              <w:t xml:space="preserve">Achats, </w:t>
            </w:r>
            <w:r w:rsidR="00FD5D44" w:rsidRPr="0005690B">
              <w:rPr>
                <w:rFonts w:eastAsia="Arial"/>
                <w:color w:val="000000"/>
              </w:rPr>
              <w:t>Affaires ju</w:t>
            </w:r>
            <w:r w:rsidR="00FD5D44">
              <w:rPr>
                <w:rFonts w:eastAsia="Arial"/>
                <w:color w:val="000000"/>
              </w:rPr>
              <w:t>ri</w:t>
            </w:r>
            <w:r w:rsidR="00FD5D44" w:rsidRPr="0005690B">
              <w:rPr>
                <w:rFonts w:eastAsia="Arial"/>
                <w:color w:val="000000"/>
              </w:rPr>
              <w:t>diques</w:t>
            </w:r>
            <w:r w:rsidR="00FD5D44">
              <w:rPr>
                <w:rFonts w:eastAsia="Arial"/>
                <w:color w:val="000000"/>
              </w:rPr>
              <w:t xml:space="preserve"> et Moyens Généraux ;</w:t>
            </w:r>
          </w:p>
          <w:p w:rsidR="00211370" w:rsidRDefault="00FD5D44" w:rsidP="000660D5">
            <w:pPr>
              <w:pStyle w:val="Style2"/>
              <w:jc w:val="both"/>
              <w:rPr>
                <w:szCs w:val="20"/>
              </w:rPr>
            </w:pPr>
            <w:r>
              <w:t>Garantir la protection des intérêts de EAU d’AZUR sur tous les domaines juridiques (hors droit social) ainsi que</w:t>
            </w:r>
            <w:r>
              <w:rPr>
                <w:szCs w:val="20"/>
              </w:rPr>
              <w:t xml:space="preserve"> la sécurité des actes juridiques ;</w:t>
            </w:r>
          </w:p>
          <w:p w:rsidR="000660D5" w:rsidRPr="000660D5" w:rsidRDefault="000660D5" w:rsidP="000660D5">
            <w:pPr>
              <w:pStyle w:val="Style2"/>
              <w:jc w:val="both"/>
              <w:rPr>
                <w:szCs w:val="20"/>
              </w:rPr>
            </w:pPr>
            <w:r w:rsidRPr="000660D5">
              <w:rPr>
                <w:szCs w:val="20"/>
              </w:rPr>
              <w:t>Définir la politique achats en termes de performance économique et qualitative</w:t>
            </w:r>
            <w:r>
              <w:rPr>
                <w:szCs w:val="20"/>
              </w:rPr>
              <w:t> ;</w:t>
            </w:r>
          </w:p>
          <w:p w:rsidR="000660D5" w:rsidRPr="000660D5" w:rsidRDefault="000660D5" w:rsidP="000660D5">
            <w:pPr>
              <w:pStyle w:val="Style2"/>
              <w:jc w:val="both"/>
              <w:rPr>
                <w:szCs w:val="20"/>
              </w:rPr>
            </w:pPr>
            <w:r w:rsidRPr="000660D5">
              <w:rPr>
                <w:szCs w:val="20"/>
              </w:rPr>
              <w:t>Recueillir les attente</w:t>
            </w:r>
            <w:r>
              <w:rPr>
                <w:szCs w:val="20"/>
              </w:rPr>
              <w:t>s achat</w:t>
            </w:r>
            <w:r w:rsidR="00AA7E08">
              <w:rPr>
                <w:szCs w:val="20"/>
              </w:rPr>
              <w:t>s</w:t>
            </w:r>
            <w:r>
              <w:rPr>
                <w:szCs w:val="20"/>
              </w:rPr>
              <w:t xml:space="preserve"> des directions métiers</w:t>
            </w:r>
            <w:r w:rsidRPr="000660D5">
              <w:rPr>
                <w:szCs w:val="20"/>
              </w:rPr>
              <w:t>, analyser leurs problématiques, estimer la c</w:t>
            </w:r>
            <w:r>
              <w:rPr>
                <w:szCs w:val="20"/>
              </w:rPr>
              <w:t>riticité des risques potentiels</w:t>
            </w:r>
            <w:r w:rsidRPr="000660D5">
              <w:rPr>
                <w:szCs w:val="20"/>
              </w:rPr>
              <w:t> ;</w:t>
            </w:r>
          </w:p>
          <w:p w:rsidR="000660D5" w:rsidRPr="00AA7E08" w:rsidRDefault="000660D5" w:rsidP="00AA7E08">
            <w:pPr>
              <w:pStyle w:val="Style2"/>
              <w:jc w:val="both"/>
              <w:rPr>
                <w:szCs w:val="20"/>
              </w:rPr>
            </w:pPr>
            <w:r w:rsidRPr="000660D5">
              <w:rPr>
                <w:szCs w:val="20"/>
              </w:rPr>
              <w:t xml:space="preserve">Identifier </w:t>
            </w:r>
            <w:r w:rsidR="00AA7E08">
              <w:rPr>
                <w:szCs w:val="20"/>
              </w:rPr>
              <w:t>l</w:t>
            </w:r>
            <w:r w:rsidR="00CF6D7C">
              <w:rPr>
                <w:color w:val="000000"/>
              </w:rPr>
              <w:t>es contraintes (techniques, économiques, ou</w:t>
            </w:r>
            <w:r w:rsidR="00AA7E08">
              <w:rPr>
                <w:color w:val="000000"/>
              </w:rPr>
              <w:t xml:space="preserve"> </w:t>
            </w:r>
            <w:r w:rsidR="00CF6D7C" w:rsidRPr="00AA7E08">
              <w:rPr>
                <w:color w:val="000000"/>
              </w:rPr>
              <w:t xml:space="preserve">juridiques...), </w:t>
            </w:r>
            <w:r w:rsidR="0005690B" w:rsidRPr="00AA7E08">
              <w:rPr>
                <w:szCs w:val="20"/>
              </w:rPr>
              <w:t>l</w:t>
            </w:r>
            <w:r w:rsidRPr="00AA7E08">
              <w:rPr>
                <w:szCs w:val="20"/>
              </w:rPr>
              <w:t>es pistes d’économie, pour définir les budgets achats annuels ; </w:t>
            </w:r>
          </w:p>
          <w:p w:rsidR="000660D5" w:rsidRDefault="000660D5" w:rsidP="00CF6D7C">
            <w:pPr>
              <w:pStyle w:val="Style2"/>
              <w:jc w:val="both"/>
              <w:rPr>
                <w:szCs w:val="20"/>
              </w:rPr>
            </w:pPr>
            <w:r w:rsidRPr="000660D5">
              <w:rPr>
                <w:szCs w:val="20"/>
              </w:rPr>
              <w:t>Définir une stratégie déclinant des objectifs de qualité, les moyens pour le</w:t>
            </w:r>
            <w:r w:rsidR="003D7ADF">
              <w:rPr>
                <w:szCs w:val="20"/>
              </w:rPr>
              <w:t xml:space="preserve">s atteindre </w:t>
            </w:r>
            <w:r w:rsidR="00AA7E08">
              <w:rPr>
                <w:szCs w:val="20"/>
              </w:rPr>
              <w:t>;</w:t>
            </w:r>
          </w:p>
          <w:p w:rsidR="00AA7E08" w:rsidRDefault="003D7ADF" w:rsidP="00CF6D7C">
            <w:pPr>
              <w:pStyle w:val="Style2"/>
              <w:jc w:val="both"/>
              <w:rPr>
                <w:szCs w:val="20"/>
              </w:rPr>
            </w:pPr>
            <w:r>
              <w:rPr>
                <w:szCs w:val="20"/>
              </w:rPr>
              <w:t>Définir et mettre</w:t>
            </w:r>
            <w:r w:rsidR="00AA7E08">
              <w:rPr>
                <w:szCs w:val="20"/>
              </w:rPr>
              <w:t xml:space="preserve"> en place une stratégie d’achat</w:t>
            </w:r>
            <w:r>
              <w:rPr>
                <w:szCs w:val="20"/>
              </w:rPr>
              <w:t>, d’entretien ou de location</w:t>
            </w:r>
            <w:r w:rsidR="00AA7E08">
              <w:rPr>
                <w:szCs w:val="20"/>
              </w:rPr>
              <w:t xml:space="preserve"> des véhicules de </w:t>
            </w:r>
            <w:r w:rsidR="002F3256">
              <w:rPr>
                <w:szCs w:val="20"/>
              </w:rPr>
              <w:t>la Régie</w:t>
            </w:r>
            <w:r w:rsidR="00AA7E08">
              <w:rPr>
                <w:szCs w:val="20"/>
              </w:rPr>
              <w:t> ;</w:t>
            </w:r>
          </w:p>
          <w:p w:rsidR="00211370" w:rsidRDefault="00211370" w:rsidP="00CF6D7C">
            <w:pPr>
              <w:pStyle w:val="Style2"/>
              <w:jc w:val="both"/>
              <w:rPr>
                <w:szCs w:val="20"/>
              </w:rPr>
            </w:pPr>
            <w:r>
              <w:rPr>
                <w:szCs w:val="20"/>
              </w:rPr>
              <w:t>Définir une stratégie de gestion immobilière</w:t>
            </w:r>
          </w:p>
          <w:p w:rsidR="00211370" w:rsidRDefault="003D7ADF" w:rsidP="00CF6D7C">
            <w:pPr>
              <w:pStyle w:val="Style2"/>
              <w:jc w:val="both"/>
              <w:rPr>
                <w:szCs w:val="20"/>
              </w:rPr>
            </w:pPr>
            <w:r>
              <w:rPr>
                <w:szCs w:val="20"/>
              </w:rPr>
              <w:t>Piloter les projets d’aménagement des locaux (hors ouvrages de production)</w:t>
            </w:r>
            <w:r w:rsidR="00211370">
              <w:rPr>
                <w:szCs w:val="20"/>
              </w:rPr>
              <w:t xml:space="preserve"> </w:t>
            </w:r>
          </w:p>
          <w:p w:rsidR="003D7ADF" w:rsidRDefault="00211370" w:rsidP="00CF6D7C">
            <w:pPr>
              <w:pStyle w:val="Style2"/>
              <w:jc w:val="both"/>
              <w:rPr>
                <w:szCs w:val="20"/>
              </w:rPr>
            </w:pPr>
            <w:r>
              <w:rPr>
                <w:szCs w:val="20"/>
              </w:rPr>
              <w:t>Accompagner la construction des futurs bureaux sur le site HALIOTIS en cohérence avec la politique immobilière</w:t>
            </w:r>
            <w:r w:rsidR="003D7ADF">
              <w:rPr>
                <w:szCs w:val="20"/>
              </w:rPr>
              <w:t> ;</w:t>
            </w:r>
          </w:p>
          <w:p w:rsidR="000660D5" w:rsidRPr="000660D5" w:rsidRDefault="0005690B" w:rsidP="000660D5">
            <w:pPr>
              <w:pStyle w:val="Style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Mettre en place </w:t>
            </w:r>
            <w:r w:rsidR="000660D5" w:rsidRPr="000660D5">
              <w:rPr>
                <w:szCs w:val="20"/>
              </w:rPr>
              <w:t>des procédures, méthodologies et outils permettant d’optimiser la performance et d</w:t>
            </w:r>
            <w:r>
              <w:rPr>
                <w:szCs w:val="20"/>
              </w:rPr>
              <w:t>e prévenir différents risques ;</w:t>
            </w:r>
          </w:p>
          <w:p w:rsidR="000660D5" w:rsidRPr="000660D5" w:rsidRDefault="000660D5" w:rsidP="000660D5">
            <w:pPr>
              <w:pStyle w:val="Style2"/>
              <w:jc w:val="both"/>
              <w:rPr>
                <w:szCs w:val="20"/>
              </w:rPr>
            </w:pPr>
            <w:r w:rsidRPr="000660D5">
              <w:rPr>
                <w:szCs w:val="20"/>
              </w:rPr>
              <w:t>Piloter la performance sourcing (rela</w:t>
            </w:r>
            <w:r w:rsidR="00AA7E08">
              <w:rPr>
                <w:szCs w:val="20"/>
              </w:rPr>
              <w:t xml:space="preserve">tions fournisseurs), organiser </w:t>
            </w:r>
            <w:r w:rsidR="002F3256">
              <w:rPr>
                <w:szCs w:val="20"/>
              </w:rPr>
              <w:t>les commissions marché</w:t>
            </w:r>
            <w:r w:rsidRPr="000660D5">
              <w:rPr>
                <w:szCs w:val="20"/>
              </w:rPr>
              <w:t xml:space="preserve"> et des revues fournisseurs</w:t>
            </w:r>
            <w:r w:rsidR="003D7ADF">
              <w:rPr>
                <w:szCs w:val="20"/>
              </w:rPr>
              <w:t xml:space="preserve"> </w:t>
            </w:r>
            <w:r w:rsidR="0005690B">
              <w:rPr>
                <w:szCs w:val="20"/>
              </w:rPr>
              <w:t>;</w:t>
            </w:r>
          </w:p>
          <w:p w:rsidR="000660D5" w:rsidRPr="0005690B" w:rsidRDefault="00AA7E08" w:rsidP="0005690B">
            <w:pPr>
              <w:pStyle w:val="Style2"/>
              <w:jc w:val="both"/>
              <w:rPr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Contrôler les processus achats, </w:t>
            </w:r>
            <w:r w:rsidR="000660D5" w:rsidRPr="000660D5">
              <w:rPr>
                <w:rFonts w:eastAsia="Times New Roman"/>
                <w:szCs w:val="20"/>
              </w:rPr>
              <w:t xml:space="preserve">contribuer à leur </w:t>
            </w:r>
            <w:r w:rsidR="000660D5" w:rsidRPr="000660D5">
              <w:rPr>
                <w:szCs w:val="20"/>
              </w:rPr>
              <w:t>amélioration continue et à l’harmonisation des pratiques.</w:t>
            </w:r>
          </w:p>
          <w:p w:rsidR="000660D5" w:rsidRPr="000660D5" w:rsidRDefault="000660D5" w:rsidP="000660D5">
            <w:pPr>
              <w:pStyle w:val="Style2"/>
              <w:jc w:val="both"/>
              <w:rPr>
                <w:szCs w:val="20"/>
              </w:rPr>
            </w:pPr>
            <w:r w:rsidRPr="000660D5">
              <w:rPr>
                <w:szCs w:val="20"/>
              </w:rPr>
              <w:t>Négocier avec des fournisseurs stratégiques pour la mise en place ou le renouvellement d’accords-cadres.</w:t>
            </w:r>
          </w:p>
          <w:p w:rsidR="000660D5" w:rsidRPr="000660D5" w:rsidRDefault="000660D5" w:rsidP="000660D5">
            <w:pPr>
              <w:pStyle w:val="Style2"/>
              <w:jc w:val="both"/>
              <w:rPr>
                <w:szCs w:val="20"/>
              </w:rPr>
            </w:pPr>
            <w:r w:rsidRPr="000660D5">
              <w:rPr>
                <w:rFonts w:eastAsia="Times New Roman"/>
                <w:szCs w:val="20"/>
              </w:rPr>
              <w:t xml:space="preserve">Contrôler la bonne exécution contractuelle des fournisseurs </w:t>
            </w:r>
            <w:r w:rsidRPr="000660D5">
              <w:rPr>
                <w:szCs w:val="20"/>
              </w:rPr>
              <w:t>en amont et en aval des processus interne</w:t>
            </w:r>
            <w:r w:rsidR="0005690B">
              <w:rPr>
                <w:szCs w:val="20"/>
              </w:rPr>
              <w:t>s, arbitrer d’éventuels litiges ;</w:t>
            </w:r>
          </w:p>
          <w:p w:rsidR="0005690B" w:rsidRPr="000660D5" w:rsidRDefault="0005690B" w:rsidP="0005690B">
            <w:pPr>
              <w:pStyle w:val="Style2"/>
              <w:jc w:val="both"/>
              <w:rPr>
                <w:szCs w:val="20"/>
              </w:rPr>
            </w:pPr>
            <w:r w:rsidRPr="000660D5">
              <w:rPr>
                <w:szCs w:val="20"/>
              </w:rPr>
              <w:t>Assurer, en matière de stratégie achats, une</w:t>
            </w:r>
            <w:r>
              <w:rPr>
                <w:szCs w:val="20"/>
              </w:rPr>
              <w:t xml:space="preserve"> veille économique des marchés ;</w:t>
            </w:r>
          </w:p>
          <w:p w:rsidR="00CF1B5A" w:rsidRPr="000660D5" w:rsidRDefault="003D7ADF" w:rsidP="003D7ADF">
            <w:pPr>
              <w:pStyle w:val="Style2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Piloter</w:t>
            </w:r>
            <w:r w:rsidR="000660D5" w:rsidRPr="000660D5">
              <w:rPr>
                <w:rFonts w:eastAsia="Times New Roman"/>
                <w:szCs w:val="20"/>
              </w:rPr>
              <w:t xml:space="preserve"> le reporting </w:t>
            </w:r>
            <w:r>
              <w:rPr>
                <w:rFonts w:eastAsia="Times New Roman"/>
                <w:szCs w:val="20"/>
              </w:rPr>
              <w:t>par la mise en place d’</w:t>
            </w:r>
            <w:r w:rsidRPr="000660D5">
              <w:rPr>
                <w:szCs w:val="20"/>
              </w:rPr>
              <w:t>indicateurs c</w:t>
            </w:r>
            <w:r>
              <w:rPr>
                <w:szCs w:val="20"/>
              </w:rPr>
              <w:t>lés de suivi de la performance </w:t>
            </w:r>
          </w:p>
        </w:tc>
      </w:tr>
      <w:tr w:rsidR="00CF1B5A" w:rsidRPr="00E045C8" w:rsidTr="002F3256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227"/>
        </w:trPr>
        <w:tc>
          <w:tcPr>
            <w:tcW w:w="10490" w:type="dxa"/>
            <w:gridSpan w:val="2"/>
            <w:tcBorders>
              <w:bottom w:val="nil"/>
            </w:tcBorders>
            <w:vAlign w:val="center"/>
          </w:tcPr>
          <w:p w:rsidR="00CF1B5A" w:rsidRPr="00CF1B5A" w:rsidRDefault="00CF1B5A" w:rsidP="00CF1B5A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CF1B5A">
              <w:rPr>
                <w:rFonts w:ascii="Arial" w:hAnsi="Arial" w:cs="Arial"/>
                <w:b/>
                <w:color w:val="002060"/>
              </w:rPr>
              <w:t>PROFIL REQUIS</w:t>
            </w:r>
            <w:r w:rsidRPr="00CF1B5A">
              <w:rPr>
                <w:rFonts w:ascii="Arial" w:hAnsi="Arial" w:cs="Arial"/>
                <w:b/>
                <w:color w:val="002060"/>
              </w:rPr>
              <w:fldChar w:fldCharType="begin"/>
            </w:r>
            <w:r w:rsidRPr="00CF1B5A">
              <w:rPr>
                <w:rFonts w:ascii="Arial" w:hAnsi="Arial" w:cs="Arial"/>
                <w:b/>
                <w:color w:val="002060"/>
              </w:rPr>
              <w:instrText xml:space="preserve">  </w:instrText>
            </w:r>
            <w:r w:rsidRPr="00CF1B5A">
              <w:rPr>
                <w:rFonts w:ascii="Arial" w:hAnsi="Arial" w:cs="Arial"/>
                <w:b/>
                <w:color w:val="002060"/>
              </w:rPr>
              <w:fldChar w:fldCharType="end"/>
            </w:r>
          </w:p>
        </w:tc>
      </w:tr>
      <w:tr w:rsidR="00CF1B5A" w:rsidRPr="00E97721" w:rsidTr="0005690B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269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CF1B5A" w:rsidRPr="00BA7330" w:rsidRDefault="00CF1B5A" w:rsidP="00CF1B5A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Compétences techniques</w:t>
            </w:r>
          </w:p>
        </w:tc>
        <w:tc>
          <w:tcPr>
            <w:tcW w:w="8221" w:type="dxa"/>
            <w:tcBorders>
              <w:left w:val="nil"/>
            </w:tcBorders>
          </w:tcPr>
          <w:p w:rsidR="003D7ADF" w:rsidRDefault="0005690B" w:rsidP="003D7ADF">
            <w:pPr>
              <w:pStyle w:val="Style2"/>
              <w:jc w:val="both"/>
              <w:rPr>
                <w:szCs w:val="20"/>
              </w:rPr>
            </w:pPr>
            <w:r w:rsidRPr="0005690B">
              <w:rPr>
                <w:szCs w:val="20"/>
              </w:rPr>
              <w:t>Maîtrise des processus d’achat</w:t>
            </w:r>
            <w:r w:rsidR="003D7ADF">
              <w:rPr>
                <w:szCs w:val="20"/>
              </w:rPr>
              <w:t xml:space="preserve"> et </w:t>
            </w:r>
            <w:r w:rsidR="00211370">
              <w:rPr>
                <w:szCs w:val="20"/>
              </w:rPr>
              <w:t>logistique</w:t>
            </w:r>
          </w:p>
          <w:p w:rsidR="00AA7E08" w:rsidRPr="00AA7E08" w:rsidRDefault="00211370" w:rsidP="0005690B">
            <w:pPr>
              <w:pStyle w:val="Style2"/>
              <w:jc w:val="both"/>
              <w:rPr>
                <w:szCs w:val="20"/>
              </w:rPr>
            </w:pPr>
            <w:r>
              <w:rPr>
                <w:rFonts w:eastAsia="Times New Roman"/>
                <w:szCs w:val="20"/>
              </w:rPr>
              <w:t>Connaissances</w:t>
            </w:r>
            <w:r w:rsidR="003D7ADF">
              <w:rPr>
                <w:rFonts w:eastAsia="Times New Roman"/>
                <w:szCs w:val="20"/>
              </w:rPr>
              <w:t xml:space="preserve"> juridiques</w:t>
            </w:r>
            <w:r>
              <w:rPr>
                <w:rFonts w:eastAsia="Times New Roman"/>
                <w:szCs w:val="20"/>
              </w:rPr>
              <w:t xml:space="preserve"> (hors droit social) et des marchés publics</w:t>
            </w:r>
          </w:p>
          <w:p w:rsidR="00CF1B5A" w:rsidRPr="003D7ADF" w:rsidRDefault="0005690B" w:rsidP="003D7ADF">
            <w:pPr>
              <w:pStyle w:val="Style2"/>
              <w:jc w:val="both"/>
              <w:rPr>
                <w:szCs w:val="20"/>
              </w:rPr>
            </w:pPr>
            <w:r w:rsidRPr="0005690B">
              <w:rPr>
                <w:szCs w:val="20"/>
              </w:rPr>
              <w:t>Fortes capacités de négociation ;</w:t>
            </w:r>
          </w:p>
        </w:tc>
      </w:tr>
      <w:tr w:rsidR="00CF1B5A" w:rsidRPr="00E97721" w:rsidTr="0005690B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269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CF1B5A" w:rsidRPr="00BA7330" w:rsidRDefault="00CF1B5A" w:rsidP="00CF1B5A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E</w:t>
            </w:r>
            <w:r w:rsidRPr="00BA7330">
              <w:rPr>
                <w:rFonts w:ascii="Arial" w:hAnsi="Arial" w:cs="Arial"/>
                <w:smallCaps/>
                <w:color w:val="002060"/>
              </w:rPr>
              <w:t>xp</w:t>
            </w:r>
            <w:r w:rsidRPr="00BA7330">
              <w:rPr>
                <w:rFonts w:ascii="Arial" w:hAnsi="Arial" w:cs="Arial"/>
                <w:b/>
                <w:smallCaps/>
                <w:color w:val="002060"/>
              </w:rPr>
              <w:t>ériences professionnelles et formation souhaitée</w:t>
            </w:r>
          </w:p>
        </w:tc>
        <w:tc>
          <w:tcPr>
            <w:tcW w:w="8221" w:type="dxa"/>
            <w:tcBorders>
              <w:left w:val="nil"/>
            </w:tcBorders>
          </w:tcPr>
          <w:p w:rsidR="00AA7E08" w:rsidRPr="00AA7E08" w:rsidRDefault="00AA7E08" w:rsidP="00AA7E08">
            <w:pPr>
              <w:pStyle w:val="Style2"/>
              <w:jc w:val="both"/>
              <w:rPr>
                <w:rFonts w:eastAsia="Times New Roman"/>
                <w:szCs w:val="20"/>
              </w:rPr>
            </w:pPr>
            <w:r w:rsidRPr="00CF6D7C">
              <w:rPr>
                <w:rFonts w:eastAsia="Times New Roman"/>
                <w:szCs w:val="20"/>
              </w:rPr>
              <w:t>Titulaire d'un bac + 5 en achats et approvisionnements</w:t>
            </w:r>
            <w:r>
              <w:rPr>
                <w:rFonts w:eastAsia="Times New Roman"/>
                <w:szCs w:val="20"/>
              </w:rPr>
              <w:t> : i</w:t>
            </w:r>
            <w:r w:rsidR="00CF6D7C" w:rsidRPr="00AA7E08">
              <w:rPr>
                <w:rFonts w:eastAsia="Times New Roman"/>
                <w:szCs w:val="20"/>
              </w:rPr>
              <w:t xml:space="preserve">ngénieur ou universitaire idéalement complétée par un troisième cycle en achat (type MAI ou DESMA), </w:t>
            </w:r>
          </w:p>
          <w:p w:rsidR="00AA7E08" w:rsidRDefault="00AA7E08" w:rsidP="00CF6D7C">
            <w:pPr>
              <w:pStyle w:val="Style2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E</w:t>
            </w:r>
            <w:r w:rsidR="00CF6D7C" w:rsidRPr="00CF6D7C">
              <w:rPr>
                <w:rFonts w:eastAsia="Times New Roman"/>
                <w:szCs w:val="20"/>
              </w:rPr>
              <w:t xml:space="preserve">xpérience réussie de 5 ans minimum </w:t>
            </w:r>
          </w:p>
          <w:p w:rsidR="00CF1B5A" w:rsidRDefault="0005690B" w:rsidP="003D7ADF">
            <w:pPr>
              <w:pStyle w:val="Style2"/>
              <w:jc w:val="both"/>
              <w:rPr>
                <w:rFonts w:eastAsia="Times New Roman"/>
                <w:szCs w:val="20"/>
              </w:rPr>
            </w:pPr>
            <w:r w:rsidRPr="00CF6D7C">
              <w:rPr>
                <w:rFonts w:eastAsia="Times New Roman"/>
                <w:szCs w:val="20"/>
              </w:rPr>
              <w:t xml:space="preserve">Expérience significative </w:t>
            </w:r>
            <w:r w:rsidR="003D7ADF" w:rsidRPr="00CF6D7C">
              <w:rPr>
                <w:rFonts w:eastAsia="Times New Roman"/>
                <w:szCs w:val="20"/>
              </w:rPr>
              <w:t>en tant qu</w:t>
            </w:r>
            <w:r w:rsidR="003D7ADF">
              <w:rPr>
                <w:rFonts w:eastAsia="Times New Roman"/>
                <w:szCs w:val="20"/>
              </w:rPr>
              <w:t xml:space="preserve">e Directeur Achat ou Supply de préférence </w:t>
            </w:r>
            <w:r w:rsidRPr="00CF6D7C">
              <w:rPr>
                <w:rFonts w:eastAsia="Times New Roman"/>
                <w:szCs w:val="20"/>
              </w:rPr>
              <w:t>dans le domaine de l’eau et de l’assainissement</w:t>
            </w:r>
          </w:p>
          <w:p w:rsidR="00211370" w:rsidRPr="003D7ADF" w:rsidRDefault="00211370" w:rsidP="003D7ADF">
            <w:pPr>
              <w:pStyle w:val="Style2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Expérience dans les appels d’offre publics</w:t>
            </w:r>
          </w:p>
        </w:tc>
      </w:tr>
      <w:tr w:rsidR="00CF1B5A" w:rsidRPr="00E97721" w:rsidTr="0005690B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269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CF1B5A" w:rsidRPr="00BA7330" w:rsidRDefault="00CF1B5A" w:rsidP="00CF1B5A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Qualités recherchées</w:t>
            </w:r>
          </w:p>
        </w:tc>
        <w:tc>
          <w:tcPr>
            <w:tcW w:w="8221" w:type="dxa"/>
            <w:tcBorders>
              <w:left w:val="nil"/>
            </w:tcBorders>
          </w:tcPr>
          <w:p w:rsidR="0005690B" w:rsidRPr="0005690B" w:rsidRDefault="0005690B" w:rsidP="00FD5D44">
            <w:pPr>
              <w:pStyle w:val="Style2"/>
            </w:pPr>
            <w:r w:rsidRPr="0005690B">
              <w:t>Sens du pilotage de la performance et des résultats ;</w:t>
            </w:r>
          </w:p>
          <w:p w:rsidR="0005690B" w:rsidRPr="0005690B" w:rsidRDefault="0005690B" w:rsidP="00FD5D44">
            <w:pPr>
              <w:pStyle w:val="Style2"/>
            </w:pPr>
            <w:r w:rsidRPr="0005690B">
              <w:t>Capacité à prendre des décisions ;</w:t>
            </w:r>
          </w:p>
          <w:p w:rsidR="0005690B" w:rsidRPr="0005690B" w:rsidRDefault="0005690B" w:rsidP="00FD5D44">
            <w:pPr>
              <w:pStyle w:val="Style2"/>
            </w:pPr>
            <w:r w:rsidRPr="0005690B">
              <w:t>Leadership sur l'équipe, capacité à mobiliser, influence ;</w:t>
            </w:r>
            <w:r w:rsidR="00FD5D44">
              <w:t xml:space="preserve"> aisance dans le management matriciel</w:t>
            </w:r>
          </w:p>
          <w:p w:rsidR="003D7ADF" w:rsidRPr="003D7ADF" w:rsidRDefault="003D7ADF" w:rsidP="00FD5D44">
            <w:pPr>
              <w:pStyle w:val="Style2"/>
            </w:pPr>
            <w:r w:rsidRPr="00CF6D7C">
              <w:t>Compétences en négociation</w:t>
            </w:r>
            <w:r>
              <w:t xml:space="preserve">, </w:t>
            </w:r>
            <w:r w:rsidRPr="00CF6D7C">
              <w:t>en gestion des contrats et en résolution de problèmes</w:t>
            </w:r>
          </w:p>
          <w:p w:rsidR="0005690B" w:rsidRPr="0005690B" w:rsidRDefault="003D7ADF" w:rsidP="00FD5D44">
            <w:pPr>
              <w:pStyle w:val="Style2"/>
            </w:pPr>
            <w:r>
              <w:rPr>
                <w:rFonts w:eastAsia="Times New Roman"/>
              </w:rPr>
              <w:t>Sens de la</w:t>
            </w:r>
            <w:r w:rsidR="0005690B" w:rsidRPr="0005690B">
              <w:t xml:space="preserve"> persuasion ;</w:t>
            </w:r>
          </w:p>
          <w:p w:rsidR="00211370" w:rsidRPr="00AA7E08" w:rsidRDefault="003D7ADF" w:rsidP="002F3256">
            <w:pPr>
              <w:pStyle w:val="Style2"/>
            </w:pPr>
            <w:r>
              <w:t>Aisance re</w:t>
            </w:r>
            <w:r w:rsidR="0005690B" w:rsidRPr="0005690B">
              <w:t>lationnelle, facilité de contact ;.</w:t>
            </w:r>
          </w:p>
        </w:tc>
      </w:tr>
      <w:tr w:rsidR="00CF1B5A" w:rsidRPr="001679AD" w:rsidTr="002F3256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227"/>
        </w:trPr>
        <w:tc>
          <w:tcPr>
            <w:tcW w:w="10490" w:type="dxa"/>
            <w:gridSpan w:val="2"/>
            <w:vAlign w:val="center"/>
          </w:tcPr>
          <w:p w:rsidR="00CF1B5A" w:rsidRPr="00CF1B5A" w:rsidRDefault="00CF1B5A" w:rsidP="003D7ADF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CF1B5A">
              <w:rPr>
                <w:rFonts w:ascii="Arial" w:hAnsi="Arial" w:cs="Arial"/>
                <w:b/>
                <w:color w:val="002060"/>
              </w:rPr>
              <w:t>CE POSTE VOUS INTÉRESSE ?</w:t>
            </w:r>
          </w:p>
        </w:tc>
      </w:tr>
      <w:tr w:rsidR="00CF1B5A" w:rsidRPr="00E045C8" w:rsidTr="0005690B">
        <w:trPr>
          <w:trHeight w:val="397"/>
        </w:trPr>
        <w:tc>
          <w:tcPr>
            <w:tcW w:w="2269" w:type="dxa"/>
            <w:tcBorders>
              <w:top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CF1B5A" w:rsidRPr="00BA7330" w:rsidRDefault="0005690B" w:rsidP="003D7ADF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L</w:t>
            </w:r>
            <w:r w:rsidR="00CF1B5A" w:rsidRPr="00BA7330">
              <w:rPr>
                <w:rFonts w:ascii="Arial" w:hAnsi="Arial" w:cs="Arial"/>
                <w:b/>
                <w:smallCaps/>
                <w:color w:val="002060"/>
              </w:rPr>
              <w:t>ettre de motivation et CV à /</w:t>
            </w:r>
          </w:p>
        </w:tc>
        <w:tc>
          <w:tcPr>
            <w:tcW w:w="8221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CF1B5A" w:rsidRDefault="003D7ADF" w:rsidP="003D7ADF">
            <w:pPr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Vincent PONZETTO : </w:t>
            </w:r>
            <w:hyperlink r:id="rId8" w:history="1">
              <w:r w:rsidRPr="008A2C5D">
                <w:rPr>
                  <w:rStyle w:val="Lienhypertexte"/>
                  <w:rFonts w:ascii="Arial" w:eastAsia="Arial" w:hAnsi="Arial"/>
                </w:rPr>
                <w:t>vincent.ponzetto@eaudazur.com</w:t>
              </w:r>
            </w:hyperlink>
          </w:p>
          <w:p w:rsidR="00533DF3" w:rsidRDefault="00533DF3" w:rsidP="003D7ADF">
            <w:pPr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Dominika BANKOWSKA : </w:t>
            </w:r>
            <w:hyperlink r:id="rId9" w:history="1">
              <w:r w:rsidRPr="00F74CAF">
                <w:rPr>
                  <w:rStyle w:val="Lienhypertexte"/>
                  <w:rFonts w:ascii="Arial" w:eastAsia="Arial" w:hAnsi="Arial"/>
                </w:rPr>
                <w:t>dominika.bankowska@eaudazur.com</w:t>
              </w:r>
            </w:hyperlink>
            <w:r>
              <w:rPr>
                <w:rFonts w:ascii="Arial" w:eastAsia="Arial" w:hAnsi="Arial"/>
                <w:color w:val="000000"/>
              </w:rPr>
              <w:t xml:space="preserve"> </w:t>
            </w:r>
          </w:p>
          <w:p w:rsidR="003D7ADF" w:rsidRPr="008A05CA" w:rsidRDefault="003D7ADF" w:rsidP="003D7ADF">
            <w:pPr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Cécile FORNILI-MICHELON : </w:t>
            </w:r>
            <w:hyperlink r:id="rId10" w:history="1">
              <w:r w:rsidRPr="008A2C5D">
                <w:rPr>
                  <w:rStyle w:val="Lienhypertexte"/>
                  <w:rFonts w:ascii="Arial" w:eastAsia="Arial" w:hAnsi="Arial"/>
                </w:rPr>
                <w:t>cecile.fornili-michelon@eaudazur.com</w:t>
              </w:r>
            </w:hyperlink>
            <w:r>
              <w:rPr>
                <w:rFonts w:ascii="Arial" w:eastAsia="Arial" w:hAnsi="Arial"/>
                <w:color w:val="000000"/>
              </w:rPr>
              <w:t xml:space="preserve"> </w:t>
            </w:r>
          </w:p>
        </w:tc>
      </w:tr>
    </w:tbl>
    <w:p w:rsidR="003E681E" w:rsidRPr="00D048C5" w:rsidRDefault="003E681E" w:rsidP="005B5EBD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"/>
        </w:rPr>
      </w:pPr>
    </w:p>
    <w:sectPr w:rsidR="003E681E" w:rsidRPr="00D048C5" w:rsidSect="002F3256">
      <w:headerReference w:type="default" r:id="rId11"/>
      <w:pgSz w:w="11906" w:h="16838" w:code="9"/>
      <w:pgMar w:top="1701" w:right="1274" w:bottom="568" w:left="141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6F" w:rsidRDefault="00F5176F">
      <w:r>
        <w:separator/>
      </w:r>
    </w:p>
  </w:endnote>
  <w:endnote w:type="continuationSeparator" w:id="0">
    <w:p w:rsidR="00F5176F" w:rsidRDefault="00F5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6F" w:rsidRDefault="00F5176F">
      <w:r>
        <w:separator/>
      </w:r>
    </w:p>
  </w:footnote>
  <w:footnote w:type="continuationSeparator" w:id="0">
    <w:p w:rsidR="00F5176F" w:rsidRDefault="00F5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C9" w:rsidRDefault="005B5EBD" w:rsidP="00D81E58">
    <w:pPr>
      <w:pStyle w:val="Titre3"/>
      <w:tabs>
        <w:tab w:val="right" w:pos="9214"/>
      </w:tabs>
      <w:ind w:left="-284" w:right="1"/>
      <w:jc w:val="both"/>
      <w:rPr>
        <w:noProof/>
        <w:u w:val="none"/>
        <w:lang w:val="fr-FR" w:eastAsia="fr-FR"/>
      </w:rPr>
    </w:pPr>
    <w:r w:rsidRPr="00344DED">
      <w:rPr>
        <w:rFonts w:cs="Arial"/>
        <w:b w:val="0"/>
        <w:bCs w:val="0"/>
        <w:noProof/>
        <w:szCs w:val="20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-419344</wp:posOffset>
          </wp:positionH>
          <wp:positionV relativeFrom="paragraph">
            <wp:posOffset>-78105</wp:posOffset>
          </wp:positionV>
          <wp:extent cx="2309495" cy="788035"/>
          <wp:effectExtent l="0" t="0" r="0" b="0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5139" r="-757" b="20689"/>
                  <a:stretch/>
                </pic:blipFill>
                <pic:spPr bwMode="auto">
                  <a:xfrm>
                    <a:off x="0" y="0"/>
                    <a:ext cx="230949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DC9">
      <w:rPr>
        <w:noProof/>
        <w:u w:val="none"/>
        <w:lang w:val="fr-FR" w:eastAsia="fr-FR"/>
      </w:rPr>
      <w:tab/>
    </w:r>
  </w:p>
  <w:p w:rsidR="00E97721" w:rsidRDefault="00053DC9" w:rsidP="00D81E58">
    <w:pPr>
      <w:pStyle w:val="Titre3"/>
      <w:tabs>
        <w:tab w:val="right" w:pos="9214"/>
      </w:tabs>
      <w:ind w:left="-851" w:right="1"/>
      <w:jc w:val="both"/>
      <w:rPr>
        <w:rFonts w:ascii="Arial" w:hAnsi="Arial" w:cs="Arial"/>
        <w:color w:val="002060"/>
        <w:u w:val="none"/>
      </w:rPr>
    </w:pPr>
    <w:r>
      <w:rPr>
        <w:noProof/>
        <w:color w:val="002060"/>
        <w:u w:val="none"/>
        <w:lang w:val="fr-FR" w:eastAsia="fr-FR"/>
      </w:rPr>
      <w:tab/>
    </w:r>
    <w:r w:rsidR="00E97721" w:rsidRPr="00E97721">
      <w:rPr>
        <w:noProof/>
        <w:color w:val="002060"/>
        <w:u w:val="none"/>
        <w:lang w:val="fr-FR" w:eastAsia="fr-FR"/>
      </w:rPr>
      <w:t>PO</w:t>
    </w:r>
    <w:r w:rsidR="00E97721" w:rsidRPr="00E97721">
      <w:rPr>
        <w:rFonts w:ascii="Arial" w:hAnsi="Arial" w:cs="Arial"/>
        <w:color w:val="002060"/>
        <w:u w:val="none"/>
      </w:rPr>
      <w:t>STE A POURVOIR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122"/>
    <w:multiLevelType w:val="multilevel"/>
    <w:tmpl w:val="6A1E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2236A"/>
    <w:multiLevelType w:val="multilevel"/>
    <w:tmpl w:val="BF4684F8"/>
    <w:lvl w:ilvl="0">
      <w:start w:val="1"/>
      <w:numFmt w:val="bullet"/>
      <w:lvlText w:val=""/>
      <w:lvlJc w:val="left"/>
      <w:pPr>
        <w:tabs>
          <w:tab w:val="left" w:pos="360"/>
        </w:tabs>
      </w:pPr>
      <w:rPr>
        <w:rFonts w:ascii="Wingdings" w:hAnsi="Wingdings" w:hint="default"/>
        <w:strike w:val="0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F035EF"/>
    <w:multiLevelType w:val="multilevel"/>
    <w:tmpl w:val="5CDA8CFA"/>
    <w:lvl w:ilvl="0">
      <w:start w:val="1"/>
      <w:numFmt w:val="bullet"/>
      <w:lvlText w:val=""/>
      <w:lvlJc w:val="left"/>
      <w:pPr>
        <w:tabs>
          <w:tab w:val="left" w:pos="432"/>
        </w:tabs>
      </w:pPr>
      <w:rPr>
        <w:rFonts w:ascii="Symbol" w:hAnsi="Symbol" w:hint="default"/>
        <w:strike w:val="0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C3CB6"/>
    <w:multiLevelType w:val="hybridMultilevel"/>
    <w:tmpl w:val="792CF9E0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D68085E"/>
    <w:multiLevelType w:val="hybridMultilevel"/>
    <w:tmpl w:val="6C30002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F76D8"/>
    <w:multiLevelType w:val="hybridMultilevel"/>
    <w:tmpl w:val="58C63F0C"/>
    <w:lvl w:ilvl="0" w:tplc="1DA6C42E">
      <w:start w:val="1"/>
      <w:numFmt w:val="bullet"/>
      <w:pStyle w:val="Style2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555E0F"/>
    <w:multiLevelType w:val="multilevel"/>
    <w:tmpl w:val="610C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176005"/>
    <w:multiLevelType w:val="hybridMultilevel"/>
    <w:tmpl w:val="D99251E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B0E15"/>
    <w:multiLevelType w:val="multilevel"/>
    <w:tmpl w:val="BF4684F8"/>
    <w:lvl w:ilvl="0">
      <w:start w:val="1"/>
      <w:numFmt w:val="bullet"/>
      <w:lvlText w:val=""/>
      <w:lvlJc w:val="left"/>
      <w:pPr>
        <w:tabs>
          <w:tab w:val="left" w:pos="360"/>
        </w:tabs>
      </w:pPr>
      <w:rPr>
        <w:rFonts w:ascii="Wingdings" w:hAnsi="Wingdings" w:hint="default"/>
        <w:strike w:val="0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86054B"/>
    <w:multiLevelType w:val="hybridMultilevel"/>
    <w:tmpl w:val="5C00E58C"/>
    <w:lvl w:ilvl="0" w:tplc="040C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3DD267D3"/>
    <w:multiLevelType w:val="hybridMultilevel"/>
    <w:tmpl w:val="3D28804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F1506"/>
    <w:multiLevelType w:val="hybridMultilevel"/>
    <w:tmpl w:val="5C34A0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4747F"/>
    <w:multiLevelType w:val="multilevel"/>
    <w:tmpl w:val="0184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A6628"/>
    <w:multiLevelType w:val="hybridMultilevel"/>
    <w:tmpl w:val="AB1E120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482133"/>
    <w:multiLevelType w:val="multilevel"/>
    <w:tmpl w:val="A8D448D8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15546E"/>
    <w:multiLevelType w:val="hybridMultilevel"/>
    <w:tmpl w:val="A132A3D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0D7F4A"/>
    <w:multiLevelType w:val="multilevel"/>
    <w:tmpl w:val="3FBE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A91A42"/>
    <w:multiLevelType w:val="multilevel"/>
    <w:tmpl w:val="F808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A374CC"/>
    <w:multiLevelType w:val="multilevel"/>
    <w:tmpl w:val="F9B2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E7024"/>
    <w:multiLevelType w:val="multilevel"/>
    <w:tmpl w:val="A410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8403D"/>
    <w:multiLevelType w:val="hybridMultilevel"/>
    <w:tmpl w:val="3D0C857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89611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224C4"/>
    <w:multiLevelType w:val="multilevel"/>
    <w:tmpl w:val="6F72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10073"/>
    <w:multiLevelType w:val="multilevel"/>
    <w:tmpl w:val="D2FA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11"/>
  </w:num>
  <w:num w:numId="9">
    <w:abstractNumId w:val="7"/>
  </w:num>
  <w:num w:numId="10">
    <w:abstractNumId w:val="14"/>
  </w:num>
  <w:num w:numId="11">
    <w:abstractNumId w:val="2"/>
  </w:num>
  <w:num w:numId="12">
    <w:abstractNumId w:val="3"/>
  </w:num>
  <w:num w:numId="13">
    <w:abstractNumId w:val="9"/>
  </w:num>
  <w:num w:numId="14">
    <w:abstractNumId w:val="1"/>
  </w:num>
  <w:num w:numId="15">
    <w:abstractNumId w:val="8"/>
  </w:num>
  <w:num w:numId="16">
    <w:abstractNumId w:val="15"/>
  </w:num>
  <w:num w:numId="17">
    <w:abstractNumId w:val="0"/>
  </w:num>
  <w:num w:numId="18">
    <w:abstractNumId w:val="22"/>
  </w:num>
  <w:num w:numId="19">
    <w:abstractNumId w:val="19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5"/>
  </w:num>
  <w:num w:numId="25">
    <w:abstractNumId w:val="6"/>
  </w:num>
  <w:num w:numId="26">
    <w:abstractNumId w:val="5"/>
  </w:num>
  <w:num w:numId="27">
    <w:abstractNumId w:val="5"/>
  </w:num>
  <w:num w:numId="2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4D"/>
    <w:rsid w:val="0002325A"/>
    <w:rsid w:val="000437F1"/>
    <w:rsid w:val="00053DC9"/>
    <w:rsid w:val="00056218"/>
    <w:rsid w:val="0005690B"/>
    <w:rsid w:val="0006061B"/>
    <w:rsid w:val="000660D5"/>
    <w:rsid w:val="000761AD"/>
    <w:rsid w:val="000762E0"/>
    <w:rsid w:val="000916E9"/>
    <w:rsid w:val="00093209"/>
    <w:rsid w:val="00094293"/>
    <w:rsid w:val="000B2CFF"/>
    <w:rsid w:val="000B42D4"/>
    <w:rsid w:val="000C48ED"/>
    <w:rsid w:val="000D0DBF"/>
    <w:rsid w:val="000D4C71"/>
    <w:rsid w:val="000E794D"/>
    <w:rsid w:val="000F732C"/>
    <w:rsid w:val="00103E83"/>
    <w:rsid w:val="00146675"/>
    <w:rsid w:val="001608EA"/>
    <w:rsid w:val="00165D1F"/>
    <w:rsid w:val="001668A4"/>
    <w:rsid w:val="001679AD"/>
    <w:rsid w:val="0018219D"/>
    <w:rsid w:val="0019385A"/>
    <w:rsid w:val="00194AB1"/>
    <w:rsid w:val="001B01CF"/>
    <w:rsid w:val="001B4AE8"/>
    <w:rsid w:val="001E5810"/>
    <w:rsid w:val="001E723B"/>
    <w:rsid w:val="001F73B6"/>
    <w:rsid w:val="002008DC"/>
    <w:rsid w:val="00211370"/>
    <w:rsid w:val="002215A3"/>
    <w:rsid w:val="002242D2"/>
    <w:rsid w:val="00241B15"/>
    <w:rsid w:val="0024580F"/>
    <w:rsid w:val="0025191A"/>
    <w:rsid w:val="002548B7"/>
    <w:rsid w:val="00267465"/>
    <w:rsid w:val="002833F0"/>
    <w:rsid w:val="0029000A"/>
    <w:rsid w:val="002A02DA"/>
    <w:rsid w:val="002E3128"/>
    <w:rsid w:val="002F0293"/>
    <w:rsid w:val="002F17B7"/>
    <w:rsid w:val="002F285A"/>
    <w:rsid w:val="002F3256"/>
    <w:rsid w:val="002F6636"/>
    <w:rsid w:val="003077EA"/>
    <w:rsid w:val="0033010F"/>
    <w:rsid w:val="003306C4"/>
    <w:rsid w:val="003475E0"/>
    <w:rsid w:val="00360A72"/>
    <w:rsid w:val="00384AA2"/>
    <w:rsid w:val="003B0987"/>
    <w:rsid w:val="003B78BE"/>
    <w:rsid w:val="003C4683"/>
    <w:rsid w:val="003D63FD"/>
    <w:rsid w:val="003D7ADF"/>
    <w:rsid w:val="003E0C9D"/>
    <w:rsid w:val="003E681E"/>
    <w:rsid w:val="003F5976"/>
    <w:rsid w:val="00404EA3"/>
    <w:rsid w:val="0040673D"/>
    <w:rsid w:val="0041427E"/>
    <w:rsid w:val="00414D5B"/>
    <w:rsid w:val="00416B09"/>
    <w:rsid w:val="004212E6"/>
    <w:rsid w:val="00427FC0"/>
    <w:rsid w:val="00430AA7"/>
    <w:rsid w:val="00451DBF"/>
    <w:rsid w:val="00466044"/>
    <w:rsid w:val="00487371"/>
    <w:rsid w:val="004901FC"/>
    <w:rsid w:val="00492F91"/>
    <w:rsid w:val="00495D8C"/>
    <w:rsid w:val="004A4C71"/>
    <w:rsid w:val="004A4CFE"/>
    <w:rsid w:val="004B67EC"/>
    <w:rsid w:val="004C59FF"/>
    <w:rsid w:val="004D2E00"/>
    <w:rsid w:val="004F5921"/>
    <w:rsid w:val="00506C3C"/>
    <w:rsid w:val="00512A56"/>
    <w:rsid w:val="00514702"/>
    <w:rsid w:val="00515356"/>
    <w:rsid w:val="00531960"/>
    <w:rsid w:val="00533DF3"/>
    <w:rsid w:val="00535A3B"/>
    <w:rsid w:val="00540018"/>
    <w:rsid w:val="005508F4"/>
    <w:rsid w:val="00564D2A"/>
    <w:rsid w:val="00567C5E"/>
    <w:rsid w:val="0057243B"/>
    <w:rsid w:val="00576A55"/>
    <w:rsid w:val="00587C91"/>
    <w:rsid w:val="00594AE3"/>
    <w:rsid w:val="005B2BD5"/>
    <w:rsid w:val="005B5EBD"/>
    <w:rsid w:val="005C1CAB"/>
    <w:rsid w:val="005C2C41"/>
    <w:rsid w:val="00605812"/>
    <w:rsid w:val="006064F6"/>
    <w:rsid w:val="00611587"/>
    <w:rsid w:val="0061308F"/>
    <w:rsid w:val="006313E6"/>
    <w:rsid w:val="00640010"/>
    <w:rsid w:val="00651D7E"/>
    <w:rsid w:val="006569E2"/>
    <w:rsid w:val="00656EB7"/>
    <w:rsid w:val="00663230"/>
    <w:rsid w:val="00671202"/>
    <w:rsid w:val="006713B8"/>
    <w:rsid w:val="0067631C"/>
    <w:rsid w:val="0068594A"/>
    <w:rsid w:val="006A0EFF"/>
    <w:rsid w:val="006A5B8A"/>
    <w:rsid w:val="006A6384"/>
    <w:rsid w:val="006D25C5"/>
    <w:rsid w:val="006D3ED4"/>
    <w:rsid w:val="006D71C8"/>
    <w:rsid w:val="006E67A8"/>
    <w:rsid w:val="006F1385"/>
    <w:rsid w:val="006F1B11"/>
    <w:rsid w:val="007038BC"/>
    <w:rsid w:val="00717578"/>
    <w:rsid w:val="00717B03"/>
    <w:rsid w:val="00723C15"/>
    <w:rsid w:val="007265BC"/>
    <w:rsid w:val="00733C2A"/>
    <w:rsid w:val="00745347"/>
    <w:rsid w:val="007613F0"/>
    <w:rsid w:val="0076236C"/>
    <w:rsid w:val="00764A4A"/>
    <w:rsid w:val="00767410"/>
    <w:rsid w:val="0077488C"/>
    <w:rsid w:val="007811E6"/>
    <w:rsid w:val="00796D41"/>
    <w:rsid w:val="00797728"/>
    <w:rsid w:val="007B2EA9"/>
    <w:rsid w:val="007F6C27"/>
    <w:rsid w:val="00814546"/>
    <w:rsid w:val="00821504"/>
    <w:rsid w:val="00841458"/>
    <w:rsid w:val="0085594F"/>
    <w:rsid w:val="00857B5D"/>
    <w:rsid w:val="00860F6A"/>
    <w:rsid w:val="008838A2"/>
    <w:rsid w:val="008879B0"/>
    <w:rsid w:val="008902B1"/>
    <w:rsid w:val="008914B2"/>
    <w:rsid w:val="008A05CA"/>
    <w:rsid w:val="008A7218"/>
    <w:rsid w:val="008C31B2"/>
    <w:rsid w:val="008D5E2F"/>
    <w:rsid w:val="0090127C"/>
    <w:rsid w:val="00923C2B"/>
    <w:rsid w:val="00930C70"/>
    <w:rsid w:val="00945F4F"/>
    <w:rsid w:val="009576D4"/>
    <w:rsid w:val="0096446A"/>
    <w:rsid w:val="009665EB"/>
    <w:rsid w:val="009910F1"/>
    <w:rsid w:val="00995C06"/>
    <w:rsid w:val="009A0052"/>
    <w:rsid w:val="009B2F2D"/>
    <w:rsid w:val="009B57CF"/>
    <w:rsid w:val="009C069D"/>
    <w:rsid w:val="009C6CA3"/>
    <w:rsid w:val="009D1356"/>
    <w:rsid w:val="009D2753"/>
    <w:rsid w:val="009D6113"/>
    <w:rsid w:val="009F0E48"/>
    <w:rsid w:val="009F73F8"/>
    <w:rsid w:val="00A06F4E"/>
    <w:rsid w:val="00A16808"/>
    <w:rsid w:val="00A22CD3"/>
    <w:rsid w:val="00A25959"/>
    <w:rsid w:val="00A31A6C"/>
    <w:rsid w:val="00A41DC7"/>
    <w:rsid w:val="00A4448D"/>
    <w:rsid w:val="00A508FB"/>
    <w:rsid w:val="00A50EBD"/>
    <w:rsid w:val="00A55FFA"/>
    <w:rsid w:val="00A601C1"/>
    <w:rsid w:val="00A61813"/>
    <w:rsid w:val="00A64C6F"/>
    <w:rsid w:val="00A73E83"/>
    <w:rsid w:val="00A7585F"/>
    <w:rsid w:val="00A8239C"/>
    <w:rsid w:val="00A90226"/>
    <w:rsid w:val="00AA7E08"/>
    <w:rsid w:val="00AB26B2"/>
    <w:rsid w:val="00AB6445"/>
    <w:rsid w:val="00AE3129"/>
    <w:rsid w:val="00B040D2"/>
    <w:rsid w:val="00B11DB4"/>
    <w:rsid w:val="00B215C4"/>
    <w:rsid w:val="00B319E0"/>
    <w:rsid w:val="00B35AA6"/>
    <w:rsid w:val="00B35C49"/>
    <w:rsid w:val="00B51DB6"/>
    <w:rsid w:val="00B51FC7"/>
    <w:rsid w:val="00B60FB2"/>
    <w:rsid w:val="00B61E99"/>
    <w:rsid w:val="00B65C9A"/>
    <w:rsid w:val="00B74440"/>
    <w:rsid w:val="00B8643E"/>
    <w:rsid w:val="00B96470"/>
    <w:rsid w:val="00BA662B"/>
    <w:rsid w:val="00BA7330"/>
    <w:rsid w:val="00BC220A"/>
    <w:rsid w:val="00BC2BD4"/>
    <w:rsid w:val="00BE1FBF"/>
    <w:rsid w:val="00C43850"/>
    <w:rsid w:val="00C45A50"/>
    <w:rsid w:val="00C50690"/>
    <w:rsid w:val="00C55909"/>
    <w:rsid w:val="00C63177"/>
    <w:rsid w:val="00C71623"/>
    <w:rsid w:val="00C7626E"/>
    <w:rsid w:val="00C856E0"/>
    <w:rsid w:val="00C97B62"/>
    <w:rsid w:val="00CA7389"/>
    <w:rsid w:val="00CB43F6"/>
    <w:rsid w:val="00CC1044"/>
    <w:rsid w:val="00CC23CE"/>
    <w:rsid w:val="00CC272F"/>
    <w:rsid w:val="00CE23A6"/>
    <w:rsid w:val="00CF1B5A"/>
    <w:rsid w:val="00CF6D7C"/>
    <w:rsid w:val="00D048C5"/>
    <w:rsid w:val="00D10C35"/>
    <w:rsid w:val="00D13285"/>
    <w:rsid w:val="00D30D4C"/>
    <w:rsid w:val="00D3685D"/>
    <w:rsid w:val="00D543BA"/>
    <w:rsid w:val="00D65868"/>
    <w:rsid w:val="00D81E58"/>
    <w:rsid w:val="00D922C9"/>
    <w:rsid w:val="00DA4AD3"/>
    <w:rsid w:val="00DB4080"/>
    <w:rsid w:val="00DE364F"/>
    <w:rsid w:val="00DF24A7"/>
    <w:rsid w:val="00DF6408"/>
    <w:rsid w:val="00E019DA"/>
    <w:rsid w:val="00E02158"/>
    <w:rsid w:val="00E045C8"/>
    <w:rsid w:val="00E16894"/>
    <w:rsid w:val="00E21B83"/>
    <w:rsid w:val="00E25636"/>
    <w:rsid w:val="00E82D82"/>
    <w:rsid w:val="00E85BBB"/>
    <w:rsid w:val="00E97721"/>
    <w:rsid w:val="00EB5E70"/>
    <w:rsid w:val="00EC001F"/>
    <w:rsid w:val="00EC280D"/>
    <w:rsid w:val="00EE2450"/>
    <w:rsid w:val="00EE5805"/>
    <w:rsid w:val="00F11933"/>
    <w:rsid w:val="00F30F53"/>
    <w:rsid w:val="00F40D24"/>
    <w:rsid w:val="00F420ED"/>
    <w:rsid w:val="00F47BA8"/>
    <w:rsid w:val="00F5176F"/>
    <w:rsid w:val="00F54690"/>
    <w:rsid w:val="00F60571"/>
    <w:rsid w:val="00F617C1"/>
    <w:rsid w:val="00F649B3"/>
    <w:rsid w:val="00F66A81"/>
    <w:rsid w:val="00F74F64"/>
    <w:rsid w:val="00F75499"/>
    <w:rsid w:val="00F9705E"/>
    <w:rsid w:val="00FD5D44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3FC07"/>
  <w15:chartTrackingRefBased/>
  <w15:docId w15:val="{B304F64A-7E3D-4198-93DB-1406005D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US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ntique Olive" w:hAnsi="Antique Olive"/>
      <w:b/>
      <w:bCs/>
      <w:spacing w:val="20"/>
      <w:sz w:val="40"/>
      <w:szCs w:val="40"/>
      <w:u w:val="single"/>
      <w:lang w:val="en-GB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  <w:lang w:val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  <w:lang w:val="en-US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  <w:lang w:val="en-US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lang w:val="en-US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lang w:val="en-US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630" w:right="745"/>
      <w:jc w:val="both"/>
    </w:pPr>
    <w:rPr>
      <w:sz w:val="24"/>
      <w:szCs w:val="24"/>
    </w:rPr>
  </w:style>
  <w:style w:type="paragraph" w:styleId="Retraitcorpsdetexte">
    <w:name w:val="Body Text Indent"/>
    <w:basedOn w:val="Normal"/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  <w:tab w:val="left" w:pos="6480"/>
        <w:tab w:val="left" w:pos="7920"/>
      </w:tabs>
      <w:spacing w:after="72"/>
      <w:ind w:left="1080"/>
    </w:pPr>
    <w:rPr>
      <w:rFonts w:ascii="TimesNewRomanPS" w:hAnsi="TimesNewRomanPS"/>
      <w:snapToGrid w:val="0"/>
      <w:color w:val="000000"/>
      <w:sz w:val="24"/>
      <w:szCs w:val="24"/>
      <w:lang w:val="en-US"/>
    </w:rPr>
  </w:style>
  <w:style w:type="paragraph" w:customStyle="1" w:styleId="Outline2">
    <w:name w:val="Outline 2"/>
    <w:pPr>
      <w:spacing w:after="72"/>
      <w:ind w:left="720"/>
    </w:pPr>
    <w:rPr>
      <w:rFonts w:ascii="TimesNewRomanPS" w:hAnsi="TimesNewRomanPS"/>
      <w:b/>
      <w:bCs/>
      <w:snapToGrid w:val="0"/>
      <w:color w:val="000000"/>
      <w:sz w:val="24"/>
      <w:szCs w:val="24"/>
      <w:lang w:val="en-US" w:eastAsia="en-US"/>
    </w:rPr>
  </w:style>
  <w:style w:type="paragraph" w:customStyle="1" w:styleId="BodySingle">
    <w:name w:val="Body Single"/>
    <w:rPr>
      <w:rFonts w:ascii="Arial" w:hAnsi="Arial" w:cs="Arial"/>
      <w:snapToGrid w:val="0"/>
      <w:color w:val="000000"/>
      <w:sz w:val="24"/>
      <w:szCs w:val="24"/>
      <w:lang w:val="en-US" w:eastAsia="en-US"/>
    </w:rPr>
  </w:style>
  <w:style w:type="paragraph" w:styleId="Corpsdetexte2">
    <w:name w:val="Body Text 2"/>
    <w:basedOn w:val="Normal"/>
    <w:rPr>
      <w:sz w:val="24"/>
      <w:szCs w:val="24"/>
      <w:lang w:val="en-US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">
    <w:name w:val="Body Text"/>
    <w:basedOn w:val="Normal"/>
    <w:pPr>
      <w:spacing w:before="120" w:after="120"/>
    </w:pPr>
    <w:rPr>
      <w:rFonts w:ascii="Trebuchet MS" w:hAnsi="Trebuchet MS"/>
      <w:sz w:val="22"/>
      <w:szCs w:val="22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C6C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C6CA3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23C15"/>
    <w:pPr>
      <w:ind w:left="720"/>
    </w:pPr>
    <w:rPr>
      <w:rFonts w:ascii="Calibri" w:eastAsia="Calibri" w:hAnsi="Calibri"/>
      <w:sz w:val="22"/>
      <w:szCs w:val="22"/>
      <w:lang w:eastAsia="fr-FR"/>
    </w:rPr>
  </w:style>
  <w:style w:type="paragraph" w:customStyle="1" w:styleId="Default">
    <w:name w:val="Default"/>
    <w:rsid w:val="00F11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35A3B"/>
    <w:rPr>
      <w:b/>
      <w:bCs/>
    </w:rPr>
  </w:style>
  <w:style w:type="paragraph" w:customStyle="1" w:styleId="Style1">
    <w:name w:val="Style1"/>
    <w:basedOn w:val="Normal"/>
    <w:link w:val="Style1Car"/>
    <w:qFormat/>
    <w:rsid w:val="00D10C35"/>
    <w:pPr>
      <w:tabs>
        <w:tab w:val="center" w:pos="3450"/>
      </w:tabs>
      <w:spacing w:before="120"/>
    </w:pPr>
    <w:rPr>
      <w:rFonts w:ascii="Arial" w:eastAsia="Calibri" w:hAnsi="Arial" w:cs="Arial"/>
      <w:b/>
      <w:smallCaps/>
    </w:rPr>
  </w:style>
  <w:style w:type="character" w:customStyle="1" w:styleId="Style1Car">
    <w:name w:val="Style1 Car"/>
    <w:basedOn w:val="Policepardfaut"/>
    <w:link w:val="Style1"/>
    <w:rsid w:val="00D10C35"/>
    <w:rPr>
      <w:rFonts w:ascii="Arial" w:eastAsia="Calibri" w:hAnsi="Arial" w:cs="Arial"/>
      <w:b/>
      <w:smallCaps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B5EBD"/>
    <w:rPr>
      <w:lang w:eastAsia="en-US"/>
    </w:rPr>
  </w:style>
  <w:style w:type="paragraph" w:customStyle="1" w:styleId="Style2">
    <w:name w:val="Style2"/>
    <w:basedOn w:val="Paragraphedeliste"/>
    <w:link w:val="Style2Car"/>
    <w:qFormat/>
    <w:rsid w:val="00D65868"/>
    <w:pPr>
      <w:numPr>
        <w:numId w:val="5"/>
      </w:numPr>
    </w:pPr>
    <w:rPr>
      <w:rFonts w:ascii="Arial" w:hAnsi="Arial" w:cs="Arial"/>
      <w:sz w:val="20"/>
    </w:rPr>
  </w:style>
  <w:style w:type="paragraph" w:customStyle="1" w:styleId="Style3">
    <w:name w:val="Style3"/>
    <w:basedOn w:val="Normal"/>
    <w:link w:val="Style3Car"/>
    <w:qFormat/>
    <w:rsid w:val="00D65868"/>
    <w:pPr>
      <w:spacing w:before="60"/>
    </w:pPr>
    <w:rPr>
      <w:rFonts w:ascii="Arial" w:hAnsi="Arial" w:cs="Arial"/>
      <w:b/>
      <w:smallCap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65868"/>
    <w:rPr>
      <w:rFonts w:ascii="Calibri" w:eastAsia="Calibri" w:hAnsi="Calibri"/>
      <w:sz w:val="22"/>
      <w:szCs w:val="22"/>
    </w:rPr>
  </w:style>
  <w:style w:type="character" w:customStyle="1" w:styleId="Style2Car">
    <w:name w:val="Style2 Car"/>
    <w:basedOn w:val="ParagraphedelisteCar"/>
    <w:link w:val="Style2"/>
    <w:rsid w:val="00D65868"/>
    <w:rPr>
      <w:rFonts w:ascii="Arial" w:eastAsia="Calibri" w:hAnsi="Arial" w:cs="Arial"/>
      <w:sz w:val="22"/>
      <w:szCs w:val="22"/>
    </w:rPr>
  </w:style>
  <w:style w:type="character" w:customStyle="1" w:styleId="Style3Car">
    <w:name w:val="Style3 Car"/>
    <w:basedOn w:val="Policepardfaut"/>
    <w:link w:val="Style3"/>
    <w:rsid w:val="00D65868"/>
    <w:rPr>
      <w:rFonts w:ascii="Arial" w:hAnsi="Arial" w:cs="Arial"/>
      <w:b/>
      <w:smallCap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5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t.ponzetto@eaudazu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cile.fornili-michelon@eaudazu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inika.bankowska@eaudaz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6683C-2124-4978-ABCC-279D8F52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 A POURVOIR / NOTICE OF VACANCY</vt:lpstr>
    </vt:vector>
  </TitlesOfParts>
  <Company>DSI NCA</Company>
  <LinksUpToDate>false</LinksUpToDate>
  <CharactersWithSpaces>3756</CharactersWithSpaces>
  <SharedDoc>false</SharedDoc>
  <HLinks>
    <vt:vector size="12" baseType="variant">
      <vt:variant>
        <vt:i4>2490397</vt:i4>
      </vt:variant>
      <vt:variant>
        <vt:i4>5</vt:i4>
      </vt:variant>
      <vt:variant>
        <vt:i4>0</vt:i4>
      </vt:variant>
      <vt:variant>
        <vt:i4>5</vt:i4>
      </vt:variant>
      <vt:variant>
        <vt:lpwstr>mailto:cecile.fornili-michelon@eaudazur.com</vt:lpwstr>
      </vt:variant>
      <vt:variant>
        <vt:lpwstr/>
      </vt:variant>
      <vt:variant>
        <vt:i4>7929870</vt:i4>
      </vt:variant>
      <vt:variant>
        <vt:i4>2</vt:i4>
      </vt:variant>
      <vt:variant>
        <vt:i4>0</vt:i4>
      </vt:variant>
      <vt:variant>
        <vt:i4>5</vt:i4>
      </vt:variant>
      <vt:variant>
        <vt:lpwstr>mailto:severine.altschuler@eaudazur.com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A POURVOIR / NOTICE OF VACANCY</dc:title>
  <dc:subject/>
  <dc:creator>c.briere</dc:creator>
  <cp:keywords/>
  <cp:lastModifiedBy>LANSELLE Romain</cp:lastModifiedBy>
  <cp:revision>5</cp:revision>
  <cp:lastPrinted>2025-04-04T16:31:00Z</cp:lastPrinted>
  <dcterms:created xsi:type="dcterms:W3CDTF">2025-04-04T16:31:00Z</dcterms:created>
  <dcterms:modified xsi:type="dcterms:W3CDTF">2025-05-26T12:08:00Z</dcterms:modified>
</cp:coreProperties>
</file>